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9" w:type="dxa"/>
        <w:tblLayout w:type="fixed"/>
        <w:tblLook w:val="0000" w:firstRow="0" w:lastRow="0" w:firstColumn="0" w:lastColumn="0" w:noHBand="0" w:noVBand="0"/>
      </w:tblPr>
      <w:tblGrid>
        <w:gridCol w:w="4644"/>
        <w:gridCol w:w="4645"/>
      </w:tblGrid>
      <w:tr w:rsidR="00183B81" w14:paraId="6E143ABD" w14:textId="77777777">
        <w:trPr>
          <w:cantSplit/>
        </w:trPr>
        <w:tc>
          <w:tcPr>
            <w:tcW w:w="4644" w:type="dxa"/>
          </w:tcPr>
          <w:p w14:paraId="567CE6C2" w14:textId="768D9E42" w:rsidR="000D6A84" w:rsidRPr="00F8719D" w:rsidRDefault="00F860A6" w:rsidP="00833949">
            <w:r>
              <w:rPr>
                <w:noProof/>
                <w:lang w:val="en-GB" w:eastAsia="zh-TW"/>
              </w:rPr>
              <mc:AlternateContent>
                <mc:Choice Requires="wps">
                  <w:drawing>
                    <wp:anchor distT="0" distB="0" distL="114300" distR="114300" simplePos="0" relativeHeight="251659264" behindDoc="1" locked="0" layoutInCell="0" allowOverlap="1" wp14:anchorId="7CAE2654" wp14:editId="4001605F">
                      <wp:simplePos x="0" y="0"/>
                      <wp:positionH relativeFrom="page">
                        <wp:posOffset>6769100</wp:posOffset>
                      </wp:positionH>
                      <wp:positionV relativeFrom="page">
                        <wp:posOffset>10081260</wp:posOffset>
                      </wp:positionV>
                      <wp:extent cx="647700" cy="396240"/>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ABD9B" w14:textId="77777777" w:rsidR="00444A98" w:rsidRPr="00B33430" w:rsidRDefault="00444A98">
                                  <w:pPr>
                                    <w:jc w:val="center"/>
                                    <w:rPr>
                                      <w:rFonts w:ascii="Arial" w:hAnsi="Arial" w:cs="Arial"/>
                                      <w:b/>
                                      <w:bCs/>
                                      <w:sz w:val="48"/>
                                    </w:rPr>
                                  </w:pPr>
                                  <w:r>
                                    <w:rPr>
                                      <w:rFonts w:ascii="Arial" w:hAnsi="Arial"/>
                                      <w:b/>
                                      <w:bCs/>
                                      <w:sz w:val="48"/>
                                    </w:rPr>
                                    <w:t>LV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E2654" id="_x0000_t202" coordsize="21600,21600" o:spt="202" path="m,l,21600r21600,l21600,xe">
                      <v:stroke joinstyle="miter"/>
                      <v:path gradientshapeok="t" o:connecttype="rect"/>
                    </v:shapetype>
                    <v:shape id="Text Box 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reQtQIAALg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C0IreQtQIAALgF&#10;AAAOAAAAAAAAAAAAAAAAAC4CAABkcnMvZTJvRG9jLnhtbFBLAQItABQABgAIAAAAIQDrVDFa3gAA&#10;AA8BAAAPAAAAAAAAAAAAAAAAAA8FAABkcnMvZG93bnJldi54bWxQSwUGAAAAAAQABADzAAAAGgYA&#10;AAAA&#10;" o:allowincell="f" filled="f" stroked="f">
                      <v:textbox>
                        <w:txbxContent>
                          <w:p w14:paraId="6D9ABD9B" w14:textId="77777777" w:rsidR="00444A98" w:rsidRPr="00B33430" w:rsidRDefault="00444A98">
                            <w:pPr>
                              <w:jc w:val="center"/>
                              <w:rPr>
                                <w:rFonts w:ascii="Arial" w:hAnsi="Arial" w:cs="Arial"/>
                                <w:b/>
                                <w:bCs/>
                                <w:sz w:val="48"/>
                              </w:rPr>
                            </w:pPr>
                            <w:r>
                              <w:rPr>
                                <w:rFonts w:ascii="Arial" w:hAnsi="Arial"/>
                                <w:b/>
                                <w:bCs/>
                                <w:sz w:val="48"/>
                              </w:rPr>
                              <w:t>LV</w:t>
                            </w:r>
                          </w:p>
                        </w:txbxContent>
                      </v:textbox>
                      <w10:wrap anchorx="page" anchory="page"/>
                    </v:shape>
                  </w:pict>
                </mc:Fallback>
              </mc:AlternateContent>
            </w:r>
            <w:r w:rsidR="00655DDA">
              <w:rPr>
                <w:noProof/>
                <w:lang w:val="en-GB" w:eastAsia="zh-TW"/>
              </w:rPr>
              <w:drawing>
                <wp:inline distT="0" distB="0" distL="0" distR="0" wp14:anchorId="5F1FBDBE" wp14:editId="3EBF1136">
                  <wp:extent cx="1799590" cy="1558925"/>
                  <wp:effectExtent l="0" t="0" r="0" b="3175"/>
                  <wp:docPr id="1" name="Picture 1" title="CoRLogo_LV"/>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8925"/>
                          </a:xfrm>
                          <a:prstGeom prst="rect">
                            <a:avLst/>
                          </a:prstGeom>
                        </pic:spPr>
                      </pic:pic>
                    </a:graphicData>
                  </a:graphic>
                </wp:inline>
              </w:drawing>
            </w:r>
          </w:p>
        </w:tc>
        <w:tc>
          <w:tcPr>
            <w:tcW w:w="4645" w:type="dxa"/>
          </w:tcPr>
          <w:p w14:paraId="10AD9405" w14:textId="77777777" w:rsidR="000D6A84" w:rsidRPr="00F8719D" w:rsidRDefault="000D6A84" w:rsidP="00833949">
            <w:pPr>
              <w:rPr>
                <w:lang w:val="en-GB"/>
              </w:rPr>
            </w:pPr>
          </w:p>
        </w:tc>
      </w:tr>
      <w:tr w:rsidR="00183B81" w14:paraId="39225CBB" w14:textId="77777777">
        <w:trPr>
          <w:cantSplit/>
        </w:trPr>
        <w:tc>
          <w:tcPr>
            <w:tcW w:w="9289" w:type="dxa"/>
            <w:gridSpan w:val="2"/>
          </w:tcPr>
          <w:p w14:paraId="191E43F9" w14:textId="77777777" w:rsidR="004218F5" w:rsidRPr="00F8719D" w:rsidRDefault="004218F5" w:rsidP="00833949">
            <w:pPr>
              <w:jc w:val="right"/>
              <w:rPr>
                <w:b/>
                <w:bCs/>
                <w:sz w:val="28"/>
              </w:rPr>
            </w:pPr>
            <w:r>
              <w:rPr>
                <w:b/>
                <w:sz w:val="28"/>
              </w:rPr>
              <w:t xml:space="preserve">CIVEX-VI/042 </w:t>
            </w:r>
          </w:p>
        </w:tc>
      </w:tr>
      <w:tr w:rsidR="00183B81" w14:paraId="68DB52E6" w14:textId="77777777">
        <w:tc>
          <w:tcPr>
            <w:tcW w:w="9289" w:type="dxa"/>
            <w:gridSpan w:val="2"/>
          </w:tcPr>
          <w:p w14:paraId="764C5164" w14:textId="77777777" w:rsidR="004218F5" w:rsidRPr="00F8719D" w:rsidRDefault="00B221E7" w:rsidP="0004792D">
            <w:pPr>
              <w:jc w:val="center"/>
              <w:rPr>
                <w:b/>
                <w:bCs/>
                <w:sz w:val="28"/>
              </w:rPr>
            </w:pPr>
            <w:r>
              <w:rPr>
                <w:b/>
                <w:sz w:val="28"/>
              </w:rPr>
              <w:t>138. plenārā sesija 2020. gada 11.-12. februārī</w:t>
            </w:r>
          </w:p>
        </w:tc>
      </w:tr>
    </w:tbl>
    <w:p w14:paraId="41083F36" w14:textId="0B3F84FE" w:rsidR="00444A98" w:rsidRPr="00F8719D" w:rsidRDefault="00444A98">
      <w:pPr>
        <w:rPr>
          <w:lang w:val="en-GB"/>
        </w:rPr>
      </w:pPr>
    </w:p>
    <w:p w14:paraId="746DC58B" w14:textId="77777777" w:rsidR="00444A98" w:rsidRPr="00F8719D" w:rsidRDefault="00444A98">
      <w:pPr>
        <w:rPr>
          <w:lang w:val="en-GB"/>
        </w:rPr>
      </w:pPr>
    </w:p>
    <w:p w14:paraId="324057EA" w14:textId="510C2DEA" w:rsidR="001B33A4" w:rsidRPr="00F8719D" w:rsidRDefault="00444A98">
      <w:pPr>
        <w:jc w:val="center"/>
        <w:rPr>
          <w:b/>
          <w:bCs/>
          <w:sz w:val="28"/>
        </w:rPr>
      </w:pPr>
      <w:r>
        <w:rPr>
          <w:b/>
          <w:bCs/>
          <w:sz w:val="28"/>
        </w:rPr>
        <w:t>ATZINUMS</w:t>
      </w:r>
    </w:p>
    <w:p w14:paraId="69796D91" w14:textId="77777777" w:rsidR="004218F5" w:rsidRPr="001B0588" w:rsidRDefault="004218F5" w:rsidP="001B0588"/>
    <w:p w14:paraId="726D5167" w14:textId="01945123" w:rsidR="004218F5" w:rsidRPr="00F8719D" w:rsidRDefault="004218F5">
      <w:pPr>
        <w:jc w:val="center"/>
        <w:rPr>
          <w:sz w:val="28"/>
        </w:rPr>
      </w:pPr>
      <w:r>
        <w:rPr>
          <w:b/>
          <w:sz w:val="28"/>
        </w:rPr>
        <w:t>Paplašināšanās</w:t>
      </w:r>
      <w:r w:rsidR="00CD034F">
        <w:rPr>
          <w:b/>
          <w:sz w:val="28"/>
        </w:rPr>
        <w:t xml:space="preserve"> tiesību aktu kopums 2019. gadā</w:t>
      </w:r>
    </w:p>
    <w:p w14:paraId="3C658FD8" w14:textId="77777777" w:rsidR="00B37612" w:rsidRDefault="00B37612">
      <w:pPr>
        <w:rPr>
          <w:lang w:val="en-GB"/>
        </w:rPr>
      </w:pPr>
    </w:p>
    <w:p w14:paraId="601F0AB6" w14:textId="77777777" w:rsidR="0009583E" w:rsidRDefault="0009583E" w:rsidP="0009583E">
      <w:pPr>
        <w:rPr>
          <w:lang w:val="en-GB"/>
        </w:rPr>
      </w:pPr>
    </w:p>
    <w:tbl>
      <w:tblPr>
        <w:tblStyle w:val="TableGrid"/>
        <w:tblW w:w="0" w:type="auto"/>
        <w:tblLook w:val="04A0" w:firstRow="1" w:lastRow="0" w:firstColumn="1" w:lastColumn="0" w:noHBand="0" w:noVBand="1"/>
      </w:tblPr>
      <w:tblGrid>
        <w:gridCol w:w="9063"/>
      </w:tblGrid>
      <w:tr w:rsidR="0009583E" w:rsidRPr="006C0FD8" w14:paraId="163C4620" w14:textId="77777777" w:rsidTr="00281B96">
        <w:tc>
          <w:tcPr>
            <w:tcW w:w="9063" w:type="dxa"/>
          </w:tcPr>
          <w:p w14:paraId="21EAD5E4" w14:textId="4130B63B" w:rsidR="0009583E" w:rsidRDefault="0009583E" w:rsidP="00281B96">
            <w:pPr>
              <w:overflowPunct w:val="0"/>
              <w:autoSpaceDE w:val="0"/>
              <w:autoSpaceDN w:val="0"/>
              <w:ind w:left="426" w:hanging="426"/>
              <w:textAlignment w:val="baseline"/>
              <w:rPr>
                <w:sz w:val="20"/>
                <w:szCs w:val="20"/>
              </w:rPr>
            </w:pPr>
            <w:r>
              <w:rPr>
                <w:sz w:val="20"/>
                <w:szCs w:val="20"/>
              </w:rPr>
              <w:t>EIROPAS REĢIONU KOMITEJA</w:t>
            </w:r>
          </w:p>
          <w:p w14:paraId="04CBC6E2" w14:textId="77777777" w:rsidR="00CD034F" w:rsidRPr="00DB7F22" w:rsidRDefault="00CD034F" w:rsidP="00281B96">
            <w:pPr>
              <w:overflowPunct w:val="0"/>
              <w:autoSpaceDE w:val="0"/>
              <w:autoSpaceDN w:val="0"/>
              <w:ind w:left="426" w:hanging="426"/>
              <w:textAlignment w:val="baseline"/>
              <w:rPr>
                <w:sz w:val="20"/>
                <w:szCs w:val="20"/>
              </w:rPr>
            </w:pPr>
          </w:p>
          <w:p w14:paraId="491C4346"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pauž atbalstu tam, ka Eiropas Komisija atzīst: ES paplašināšanās ir ģeostratēģiska investīcija miera, stabilitātes, drošības un ekonomiskās izaugsmes veicināšanā;</w:t>
            </w:r>
          </w:p>
          <w:p w14:paraId="5C4DBE27"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uzsver, ka Eiropas Savienības paplašināšanās procesā būtu jāpiemēro arī tādi Eiropas principi kā subsidiaritāte, proporcionalitāte un daudzlīmeņu pārvaldība;</w:t>
            </w:r>
          </w:p>
          <w:p w14:paraId="2D84C353"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ar lielām bažām norāda, šajā reģionā nozīmīga problēmu joma joprojām ir pienācīga demokrātisko iestāžu darbība, kā arī stabils progress tiesiskuma jomā;</w:t>
            </w:r>
          </w:p>
          <w:p w14:paraId="594602DE"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atzinīgi vērtē faktu, ka priekšlikumā par Pirmspievienošanās palīdzības instrumentu (IPA III) paredzēta stratēģiskāka un dinamiskāka palīdzības sniegšana; aicina Komisiju, izmantojot konkrētus instrumentus, veicināt vietējo un reģionālo pašvaldību spēju un prasmju veidošanu;</w:t>
            </w:r>
          </w:p>
          <w:p w14:paraId="6DE8F5EF" w14:textId="77777777" w:rsidR="0009583E" w:rsidRPr="00DB7F22" w:rsidRDefault="0009583E" w:rsidP="00CD034F">
            <w:pPr>
              <w:pStyle w:val="Heading1"/>
              <w:numPr>
                <w:ilvl w:val="0"/>
                <w:numId w:val="70"/>
              </w:numPr>
              <w:spacing w:line="240" w:lineRule="auto"/>
              <w:ind w:left="567" w:hanging="567"/>
              <w:rPr>
                <w:sz w:val="20"/>
                <w:szCs w:val="20"/>
              </w:rPr>
            </w:pPr>
            <w:r>
              <w:rPr>
                <w:sz w:val="20"/>
                <w:szCs w:val="20"/>
              </w:rPr>
              <w:t>atbalsta taisnīgu un stingru nosacījumu principu un principu “pamatjautājumi vispirms”;</w:t>
            </w:r>
          </w:p>
          <w:p w14:paraId="1D2FB242" w14:textId="77777777" w:rsidR="0009583E" w:rsidRPr="00DB7F22" w:rsidRDefault="0009583E" w:rsidP="00CD034F">
            <w:pPr>
              <w:pStyle w:val="Heading1"/>
              <w:numPr>
                <w:ilvl w:val="0"/>
                <w:numId w:val="70"/>
              </w:numPr>
              <w:spacing w:line="240" w:lineRule="auto"/>
              <w:ind w:left="567" w:hanging="567"/>
              <w:rPr>
                <w:sz w:val="20"/>
                <w:szCs w:val="20"/>
              </w:rPr>
            </w:pPr>
            <w:r>
              <w:rPr>
                <w:sz w:val="20"/>
                <w:szCs w:val="20"/>
              </w:rPr>
              <w:t>pauž bažas par pieaugošo naidīgumu pret pilsonisko sabiedrību un par vārda brīvības samazināšanos;</w:t>
            </w:r>
          </w:p>
          <w:p w14:paraId="49D65F20"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pauž pārliecību, ka vietējās un reģionālās pašvaldības var novērst dažus trūkumus tiesiskuma un pamattiesību jomā un cīnīties pret diskrimināciju;</w:t>
            </w:r>
          </w:p>
          <w:p w14:paraId="400C1D9A"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atzinīgi vērtē Ziemeļmaķedonijas un Grieķijas panākto vēsturisko Prespas vienošanos;</w:t>
            </w:r>
          </w:p>
          <w:p w14:paraId="2BD861A8"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pilnībā atbalsta pievienošanās sarunu sākšanu ar Ziemeļmaķedoniju un Albāniju;</w:t>
            </w:r>
          </w:p>
          <w:p w14:paraId="2727332A"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ar bažām norāda, ka Serbijai un Melnkalnei ir apņēmīgāk jārīkojas būtiski svarīgās jomās, it sevišķi politiskās vides depolarizācijā;</w:t>
            </w:r>
          </w:p>
          <w:p w14:paraId="25E29086"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atkārtoti pauž visdziļākās bažas un samulsumu par to, ka kopš 2008. gada Mostaras pilsētā (Bosnija un Hercegovina) nav notikušas pašvaldību vēlēšanas;</w:t>
            </w:r>
          </w:p>
          <w:p w14:paraId="7FCF3C58"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aicina Padomi steidzami risināt jautājumu par vīzu režīma liberalizāciju ar Kosovu;</w:t>
            </w:r>
          </w:p>
          <w:p w14:paraId="4C4AE9BD" w14:textId="77777777" w:rsidR="0009583E" w:rsidRPr="00DB7F22" w:rsidRDefault="0009583E" w:rsidP="00CD034F">
            <w:pPr>
              <w:numPr>
                <w:ilvl w:val="0"/>
                <w:numId w:val="70"/>
              </w:numPr>
              <w:autoSpaceDE w:val="0"/>
              <w:autoSpaceDN w:val="0"/>
              <w:spacing w:line="240" w:lineRule="auto"/>
              <w:ind w:left="567" w:hanging="567"/>
              <w:rPr>
                <w:sz w:val="20"/>
                <w:szCs w:val="20"/>
              </w:rPr>
            </w:pPr>
            <w:r>
              <w:rPr>
                <w:sz w:val="20"/>
                <w:szCs w:val="20"/>
              </w:rPr>
              <w:t>ar nožēlu norāda, ka galveno cilvēktiesību stāvoklis Turcijā turpina ievērojami pasliktināties, un ir vērojama būtiska lejupslīde tiesiskuma un pamattiesību jomā;</w:t>
            </w:r>
          </w:p>
          <w:p w14:paraId="70F5D58B" w14:textId="77777777" w:rsidR="0009583E" w:rsidRPr="00DB7F22" w:rsidRDefault="0009583E" w:rsidP="00CD034F">
            <w:pPr>
              <w:numPr>
                <w:ilvl w:val="0"/>
                <w:numId w:val="70"/>
              </w:numPr>
              <w:overflowPunct w:val="0"/>
              <w:autoSpaceDE w:val="0"/>
              <w:autoSpaceDN w:val="0"/>
              <w:spacing w:line="240" w:lineRule="auto"/>
              <w:ind w:left="567" w:hanging="567"/>
              <w:textAlignment w:val="baseline"/>
              <w:rPr>
                <w:sz w:val="20"/>
                <w:szCs w:val="20"/>
              </w:rPr>
            </w:pPr>
            <w:r>
              <w:rPr>
                <w:sz w:val="20"/>
                <w:szCs w:val="20"/>
              </w:rPr>
              <w:t>aicina ES vietējās un reģionālās pašvaldības vēl vairāk pastiprināt sadarbību ar kolēģiem kandidātvalstīs un potenciālajās kandidātvalstīs;</w:t>
            </w:r>
          </w:p>
          <w:p w14:paraId="220E2631" w14:textId="77777777" w:rsidR="0009583E" w:rsidRPr="00DB7F22" w:rsidRDefault="0009583E" w:rsidP="00CD034F">
            <w:pPr>
              <w:numPr>
                <w:ilvl w:val="0"/>
                <w:numId w:val="70"/>
              </w:numPr>
              <w:overflowPunct w:val="0"/>
              <w:autoSpaceDE w:val="0"/>
              <w:autoSpaceDN w:val="0"/>
              <w:spacing w:line="240" w:lineRule="auto"/>
              <w:ind w:left="567" w:hanging="567"/>
              <w:textAlignment w:val="baseline"/>
              <w:rPr>
                <w:sz w:val="20"/>
                <w:szCs w:val="20"/>
              </w:rPr>
            </w:pPr>
            <w:r>
              <w:rPr>
                <w:sz w:val="20"/>
                <w:szCs w:val="20"/>
              </w:rPr>
              <w:t>aicina Eiropas Komisiju ierosināt konkrētus politikas pasākumus, rīkus un instrumentus, ar kuriem iesaistīt Rietumbalkānu vietējās un reģionālās pašvaldības;</w:t>
            </w:r>
          </w:p>
          <w:p w14:paraId="13DBE079" w14:textId="77777777" w:rsidR="0009583E" w:rsidRPr="00DB7F22" w:rsidRDefault="0009583E" w:rsidP="00CD034F">
            <w:pPr>
              <w:numPr>
                <w:ilvl w:val="0"/>
                <w:numId w:val="70"/>
              </w:numPr>
              <w:overflowPunct w:val="0"/>
              <w:autoSpaceDE w:val="0"/>
              <w:autoSpaceDN w:val="0"/>
              <w:spacing w:line="240" w:lineRule="auto"/>
              <w:ind w:left="567" w:hanging="567"/>
              <w:textAlignment w:val="baseline"/>
              <w:rPr>
                <w:sz w:val="20"/>
                <w:szCs w:val="20"/>
              </w:rPr>
            </w:pPr>
            <w:r>
              <w:rPr>
                <w:sz w:val="20"/>
                <w:szCs w:val="20"/>
              </w:rPr>
              <w:t>aicina Eiropas Komisiju izstrādāt praktisku instrumentu, lai atbalstītu vietējo un reģionālo pašvaldību spēju efektīvu veidošanu Rietumbalkānos;</w:t>
            </w:r>
          </w:p>
          <w:p w14:paraId="753F3E0C" w14:textId="77777777" w:rsidR="0009583E" w:rsidRPr="006C0FD8" w:rsidRDefault="0009583E" w:rsidP="00CD034F">
            <w:pPr>
              <w:numPr>
                <w:ilvl w:val="0"/>
                <w:numId w:val="68"/>
              </w:numPr>
              <w:overflowPunct w:val="0"/>
              <w:autoSpaceDE w:val="0"/>
              <w:autoSpaceDN w:val="0"/>
              <w:adjustRightInd w:val="0"/>
              <w:spacing w:line="240" w:lineRule="auto"/>
              <w:ind w:left="567" w:hanging="567"/>
              <w:contextualSpacing/>
              <w:textAlignment w:val="baseline"/>
              <w:rPr>
                <w:szCs w:val="20"/>
              </w:rPr>
            </w:pPr>
            <w:r>
              <w:rPr>
                <w:sz w:val="20"/>
                <w:szCs w:val="20"/>
              </w:rPr>
              <w:t>mudina Komisiju labāk iesaistīt Rietumbalkānu valstis un jo īpaši to vietējās un reģionālās pašvaldības Pilsētas mēru pakta turpmākajā attīstībā un citās iniciatīvās, kas veicina virzību uz Ilgtspējīgas attīstības programmas 2030. gadam sasniegšanu.</w:t>
            </w:r>
          </w:p>
        </w:tc>
      </w:tr>
    </w:tbl>
    <w:p w14:paraId="6461E30C" w14:textId="77777777" w:rsidR="006E1FB3" w:rsidRPr="00F8719D" w:rsidRDefault="006E1FB3">
      <w:pPr>
        <w:rPr>
          <w:lang w:val="en-GB"/>
        </w:rPr>
      </w:pPr>
    </w:p>
    <w:p w14:paraId="1A502A77" w14:textId="77777777" w:rsidR="006E1FB3" w:rsidRPr="00F8719D" w:rsidRDefault="00833949">
      <w:pPr>
        <w:tabs>
          <w:tab w:val="left" w:pos="440"/>
        </w:tabs>
        <w:ind w:left="440" w:hanging="440"/>
        <w:sectPr w:rsidR="006E1FB3" w:rsidRPr="00F8719D" w:rsidSect="00A928D2">
          <w:footerReference w:type="default" r:id="rId12"/>
          <w:pgSz w:w="11907" w:h="16839" w:code="9"/>
          <w:pgMar w:top="1417" w:right="1417" w:bottom="1417" w:left="1417" w:header="709" w:footer="709" w:gutter="0"/>
          <w:pgNumType w:start="1"/>
          <w:cols w:space="720"/>
          <w:docGrid w:linePitch="299"/>
        </w:sectPr>
      </w:pPr>
      <w:r>
        <w:rPr>
          <w:noProof/>
          <w:lang w:val="en-GB" w:eastAsia="zh-TW"/>
        </w:rPr>
        <w:drawing>
          <wp:anchor distT="0" distB="0" distL="114300" distR="114300" simplePos="0" relativeHeight="251663360" behindDoc="0" locked="0" layoutInCell="1" allowOverlap="1" wp14:anchorId="7F883152" wp14:editId="26D915B8">
            <wp:simplePos x="0" y="0"/>
            <wp:positionH relativeFrom="margin">
              <wp:posOffset>-15571</wp:posOffset>
            </wp:positionH>
            <wp:positionV relativeFrom="page">
              <wp:posOffset>10185400</wp:posOffset>
            </wp:positionV>
            <wp:extent cx="5760000" cy="29160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760000" cy="2916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Look w:val="01E0" w:firstRow="1" w:lastRow="1" w:firstColumn="1" w:lastColumn="1" w:noHBand="0" w:noVBand="0"/>
      </w:tblPr>
      <w:tblGrid>
        <w:gridCol w:w="9289"/>
      </w:tblGrid>
      <w:tr w:rsidR="00183B81" w14:paraId="1FA00F36" w14:textId="77777777">
        <w:trPr>
          <w:trHeight w:val="12474"/>
        </w:trPr>
        <w:tc>
          <w:tcPr>
            <w:tcW w:w="9289" w:type="dxa"/>
            <w:vAlign w:val="bottom"/>
          </w:tcPr>
          <w:p w14:paraId="1079C850" w14:textId="296A24F5" w:rsidR="00511212" w:rsidRDefault="00B37612" w:rsidP="001B0588">
            <w:pPr>
              <w:jc w:val="left"/>
            </w:pPr>
            <w:r>
              <w:rPr>
                <w:u w:val="single"/>
              </w:rPr>
              <w:lastRenderedPageBreak/>
              <w:t>Ziņotājs</w:t>
            </w:r>
          </w:p>
          <w:p w14:paraId="2B065791" w14:textId="77777777" w:rsidR="00511212" w:rsidRDefault="00511212" w:rsidP="001B0588">
            <w:pPr>
              <w:jc w:val="left"/>
            </w:pPr>
          </w:p>
          <w:p w14:paraId="2D5A197D" w14:textId="77777777" w:rsidR="00B37612" w:rsidRPr="001B0588" w:rsidRDefault="00B37612" w:rsidP="001B0588">
            <w:pPr>
              <w:jc w:val="left"/>
            </w:pPr>
            <w:r>
              <w:rPr>
                <w:b/>
                <w:i/>
                <w:iCs/>
              </w:rPr>
              <w:t>Jaroslav Hlinka</w:t>
            </w:r>
            <w:r>
              <w:t xml:space="preserve"> (SK/PSE), Dienvidu Košices mērs</w:t>
            </w:r>
          </w:p>
          <w:p w14:paraId="749092A5" w14:textId="77777777" w:rsidR="00B37612" w:rsidRDefault="00B37612" w:rsidP="001B0588">
            <w:pPr>
              <w:jc w:val="left"/>
              <w:rPr>
                <w:u w:val="single"/>
                <w:lang w:val="en-GB"/>
              </w:rPr>
            </w:pPr>
          </w:p>
          <w:p w14:paraId="6956B3A8" w14:textId="77777777" w:rsidR="006E1FB3" w:rsidRPr="00F8719D" w:rsidRDefault="006E1FB3">
            <w:pPr>
              <w:rPr>
                <w:u w:val="single"/>
              </w:rPr>
            </w:pPr>
            <w:r>
              <w:rPr>
                <w:u w:val="single"/>
              </w:rPr>
              <w:t>Atsauces dokumenti</w:t>
            </w:r>
          </w:p>
          <w:p w14:paraId="3E372DA4" w14:textId="77777777" w:rsidR="006E1FB3" w:rsidRPr="00F8719D" w:rsidRDefault="006E1FB3">
            <w:pPr>
              <w:rPr>
                <w:lang w:val="en-GB"/>
              </w:rPr>
            </w:pPr>
          </w:p>
          <w:p w14:paraId="65DEBED9" w14:textId="77777777" w:rsidR="006E1FB3" w:rsidRPr="00F8719D" w:rsidRDefault="006E1FB3">
            <w:r>
              <w:t>Komisijas paziņojums Eiropas Parlamentam, Padomei, Eiropas Ekonomikas un sociālo lietu komitejai un Reģionu komitejai — “2019. gada paziņojums par ES paplašināšanās politiku”</w:t>
            </w:r>
          </w:p>
          <w:p w14:paraId="2D4C759B" w14:textId="77777777" w:rsidR="006E1FB3" w:rsidRPr="00F8719D" w:rsidRDefault="006E1FB3">
            <w:r>
              <w:t xml:space="preserve">COM(2019) 260 final; </w:t>
            </w:r>
          </w:p>
          <w:p w14:paraId="6A122109" w14:textId="77777777" w:rsidR="008B2EC3" w:rsidRDefault="006E1FB3">
            <w:r>
              <w:t>SWD(2019) 215 final; SWD(2019) 216 final; SWD(2019) 217 final; SWD(2019) 218 final; SWD(2019) 219 final; SWD(2019) 220 final</w:t>
            </w:r>
          </w:p>
          <w:p w14:paraId="69488EED" w14:textId="6601B1E2" w:rsidR="00A928D2" w:rsidRPr="00F8719D" w:rsidRDefault="00A928D2">
            <w:pPr>
              <w:rPr>
                <w:lang w:val="en-GB"/>
              </w:rPr>
            </w:pPr>
          </w:p>
        </w:tc>
      </w:tr>
    </w:tbl>
    <w:p w14:paraId="5A7460C9" w14:textId="77777777" w:rsidR="00833949" w:rsidRPr="00F8719D" w:rsidRDefault="00833949">
      <w:r>
        <w:br w:type="page"/>
      </w:r>
    </w:p>
    <w:p w14:paraId="3DB1D483" w14:textId="4827BE55" w:rsidR="00444A98" w:rsidRPr="00F8719D" w:rsidRDefault="006D61F8">
      <w:pPr>
        <w:jc w:val="center"/>
        <w:rPr>
          <w:b/>
        </w:rPr>
      </w:pPr>
      <w:r>
        <w:rPr>
          <w:b/>
        </w:rPr>
        <w:lastRenderedPageBreak/>
        <w:t>Eirop</w:t>
      </w:r>
      <w:r w:rsidR="00CD034F">
        <w:rPr>
          <w:b/>
        </w:rPr>
        <w:t xml:space="preserve">as Reģionu komitejas atzinums – </w:t>
      </w:r>
      <w:r>
        <w:rPr>
          <w:b/>
        </w:rPr>
        <w:t xml:space="preserve">Paplašināšanās tiesību aktu kopums </w:t>
      </w:r>
      <w:r w:rsidR="00CD034F">
        <w:rPr>
          <w:b/>
        </w:rPr>
        <w:t>2019</w:t>
      </w:r>
    </w:p>
    <w:p w14:paraId="6A328918" w14:textId="77777777" w:rsidR="0013749C" w:rsidRPr="001B0588" w:rsidRDefault="0013749C" w:rsidP="001B0588"/>
    <w:p w14:paraId="2FC23FF3" w14:textId="77777777" w:rsidR="00833949" w:rsidRPr="00F8719D" w:rsidRDefault="00444A98" w:rsidP="00555485">
      <w:pPr>
        <w:keepNext/>
        <w:numPr>
          <w:ilvl w:val="0"/>
          <w:numId w:val="67"/>
        </w:numPr>
        <w:ind w:left="567" w:hanging="567"/>
        <w:rPr>
          <w:b/>
        </w:rPr>
      </w:pPr>
      <w:r>
        <w:rPr>
          <w:b/>
        </w:rPr>
        <w:t>IETEIKUMI POLITIKAS JOMĀ</w:t>
      </w:r>
    </w:p>
    <w:p w14:paraId="4A1C2C23" w14:textId="77777777" w:rsidR="004E0DC0" w:rsidRPr="00F8719D" w:rsidRDefault="004E0DC0" w:rsidP="00555485">
      <w:pPr>
        <w:rPr>
          <w:lang w:val="en-GB"/>
        </w:rPr>
      </w:pPr>
    </w:p>
    <w:p w14:paraId="35D612E8" w14:textId="77777777" w:rsidR="008B032F" w:rsidRPr="00F8719D" w:rsidRDefault="00833949" w:rsidP="00555485">
      <w:r>
        <w:t>EIROPAS REĢIONU KOMITEJA</w:t>
      </w:r>
    </w:p>
    <w:p w14:paraId="70A0201A" w14:textId="77777777" w:rsidR="00833949" w:rsidRPr="00F8719D" w:rsidRDefault="00833949" w:rsidP="00555485">
      <w:pPr>
        <w:rPr>
          <w:lang w:val="en-GB"/>
        </w:rPr>
      </w:pPr>
    </w:p>
    <w:p w14:paraId="49FC6CC5" w14:textId="7788C5F3" w:rsidR="00833949" w:rsidRPr="00F8719D" w:rsidRDefault="00833949" w:rsidP="00833949">
      <w:pPr>
        <w:rPr>
          <w:b/>
        </w:rPr>
      </w:pPr>
      <w:r>
        <w:rPr>
          <w:b/>
        </w:rPr>
        <w:t>Vispārīgas piezīmes</w:t>
      </w:r>
    </w:p>
    <w:p w14:paraId="73E5ADFC" w14:textId="77777777" w:rsidR="00833949" w:rsidRPr="00F8719D" w:rsidRDefault="00833949" w:rsidP="00555485">
      <w:pPr>
        <w:rPr>
          <w:lang w:val="en-GB"/>
        </w:rPr>
      </w:pPr>
    </w:p>
    <w:p w14:paraId="4D509661" w14:textId="77777777" w:rsidR="008B032F" w:rsidRPr="00F8719D" w:rsidRDefault="008B032F" w:rsidP="00555485">
      <w:pPr>
        <w:pStyle w:val="Heading1"/>
      </w:pPr>
      <w:r>
        <w:t>ar lielu interesi pieņem zināšanai Eiropas Komisijas “2019. gada paziņojumu par ES paplašināšanās politiku”, ziņojumus par kandidātvalstīm Albāniju, Melnkalni, Ziemeļmaķedoniju, Serbiju un Turciju, ziņojumu par Kosovu</w:t>
      </w:r>
      <w:r>
        <w:rPr>
          <w:rStyle w:val="FootnoteReference"/>
          <w:lang w:val="en-GB"/>
        </w:rPr>
        <w:footnoteReference w:customMarkFollows="1" w:id="1"/>
        <w:sym w:font="Symbol" w:char="F02A"/>
      </w:r>
      <w:r>
        <w:t>, kā arī paralēlo atzinumu par Bosnijas un Hercegovinas pieteikumu dalībai Eiropas Savienībā;</w:t>
      </w:r>
    </w:p>
    <w:p w14:paraId="27A5EE91" w14:textId="77777777" w:rsidR="004E0DC0" w:rsidRPr="00F8719D" w:rsidRDefault="004E0DC0" w:rsidP="00555485">
      <w:pPr>
        <w:rPr>
          <w:lang w:val="en-GB"/>
        </w:rPr>
      </w:pPr>
    </w:p>
    <w:p w14:paraId="23BDF6A9" w14:textId="77777777" w:rsidR="008B032F" w:rsidRPr="00F8719D" w:rsidRDefault="008B032F" w:rsidP="00555485">
      <w:pPr>
        <w:pStyle w:val="Heading1"/>
      </w:pPr>
      <w:r>
        <w:t>pauž pilnīgu atbalstu tam, ka Eiropas Komisija atzīst: paplašināšanās, būdama ģeostratēģiska investīcija visas Eiropas miera, drošības un ekonomiskās izaugsmes veicināšanā, ir pašas ES politiskajās, drošības un ekonomiskajās interesēs,</w:t>
      </w:r>
    </w:p>
    <w:p w14:paraId="49AC7DE5" w14:textId="77777777" w:rsidR="004E0DC0" w:rsidRPr="00F8719D" w:rsidRDefault="004E0DC0" w:rsidP="00555485">
      <w:pPr>
        <w:rPr>
          <w:lang w:val="en-GB"/>
        </w:rPr>
      </w:pPr>
    </w:p>
    <w:p w14:paraId="7966A57C" w14:textId="77777777" w:rsidR="008B032F" w:rsidRPr="00F8719D" w:rsidRDefault="008B032F" w:rsidP="00555485">
      <w:pPr>
        <w:pStyle w:val="Heading1"/>
      </w:pPr>
      <w:r>
        <w:t>atzinīgi vērtē to, ka ES vadītāji atkārtoti ir apstiprinājuši savu nepārprotamo atbalstu Rietumbalkānu Eiropas perspektīvai un ka Rietumbalkānu partneri ES un Rietumbalkānu samitā, kas 2018. gada maijā notika Sofijā, atkārtoti pauda apņemšanos saistībā ar šo perspektīvu kā savu stingro stratēģisko izvēli;</w:t>
      </w:r>
    </w:p>
    <w:p w14:paraId="71E78A71" w14:textId="77777777" w:rsidR="004E0DC0" w:rsidRPr="00F8719D" w:rsidRDefault="004E0DC0" w:rsidP="00555485">
      <w:pPr>
        <w:rPr>
          <w:lang w:val="en-GB"/>
        </w:rPr>
      </w:pPr>
    </w:p>
    <w:p w14:paraId="5AB70FC1" w14:textId="77777777" w:rsidR="008B032F" w:rsidRPr="00F8719D" w:rsidRDefault="008B032F" w:rsidP="00555485">
      <w:pPr>
        <w:pStyle w:val="Heading1"/>
      </w:pPr>
      <w:r>
        <w:t>atzinīgi vērtē faktu, ka Eiropas Komisijas priekšlikumā par Pirmspievienošanās palīdzības instrumentu (</w:t>
      </w:r>
      <w:r>
        <w:rPr>
          <w:i/>
        </w:rPr>
        <w:t>IPA III</w:t>
      </w:r>
      <w:r>
        <w:t>) saskaņā ar 2021.–2027. gada daudzgadu finanšu shēmu paredzēta stratēģiskāka un dinamiskāka palīdzības sniegšana, koncentrējoties uz galvenajām prioritātēm;</w:t>
      </w:r>
    </w:p>
    <w:p w14:paraId="3BE43EF2" w14:textId="77777777" w:rsidR="004E0DC0" w:rsidRPr="00F8719D" w:rsidRDefault="004E0DC0" w:rsidP="00555485">
      <w:pPr>
        <w:rPr>
          <w:lang w:val="en-GB"/>
        </w:rPr>
      </w:pPr>
    </w:p>
    <w:p w14:paraId="3E4FAFF8" w14:textId="77777777" w:rsidR="008B032F" w:rsidRPr="00F8719D" w:rsidRDefault="008B032F" w:rsidP="00555485">
      <w:pPr>
        <w:pStyle w:val="Heading1"/>
      </w:pPr>
      <w:r>
        <w:t>šajā saistībā mudina Eiropas Komisiju turpināt darbu ar kandidātvalstu un potenciālo kandidātvalstu valdībām, lai izstrādātu īpašus instrumentus Rietumbalkānu valstu vietējo un reģionālo pašvaldību spēju veidošanai, kas ļautu efektīvi izmantot piešķirto finansējumu, kā arī novērst strukturālās nepilnības to spējā līdzfinansēt un priekšfinansēt ES atbalstīto projektu sagatavošanu un īstenošanu;</w:t>
      </w:r>
    </w:p>
    <w:p w14:paraId="121E7FB5" w14:textId="77777777" w:rsidR="004E0DC0" w:rsidRPr="00F8719D" w:rsidRDefault="004E0DC0" w:rsidP="00555485">
      <w:pPr>
        <w:rPr>
          <w:lang w:val="en-GB"/>
        </w:rPr>
      </w:pPr>
    </w:p>
    <w:p w14:paraId="37160897" w14:textId="77777777" w:rsidR="008B032F" w:rsidRPr="00F8719D" w:rsidRDefault="008B032F" w:rsidP="00555485">
      <w:pPr>
        <w:pStyle w:val="Heading1"/>
      </w:pPr>
      <w:r>
        <w:t>atkārtoti norāda, ka efektīvas publiskās pārvaldes reformas Rietumbalkānu valstīs, tostarp fiskālā decentralizācija, ir nepieciešamas, lai uzlabotu vietējo pārvaldību, sekmētu vietējo un reģionālo pašvaldību spēju attīstīt un sniegt kvalitatīvus pakalpojumus saviem iedzīvotājiem un sadarbībā ar viņiem, veicinātu to iesaistīšanos reģionālajā sadarbībā un nodrošinātu labas kaimiņattiecības, kā arī īstenotu vērienīgus ilgtspējīgas attīstības un klimata pārmaiņu pasākumus Eiropas un starptautiskā līmenī.</w:t>
      </w:r>
    </w:p>
    <w:p w14:paraId="6354476B" w14:textId="77777777" w:rsidR="004E0DC0" w:rsidRPr="00F8719D" w:rsidRDefault="004E0DC0" w:rsidP="00555485">
      <w:pPr>
        <w:rPr>
          <w:szCs w:val="20"/>
          <w:lang w:val="en-GB"/>
        </w:rPr>
      </w:pPr>
    </w:p>
    <w:p w14:paraId="3344C769" w14:textId="77777777" w:rsidR="008B032F" w:rsidRPr="00F8719D" w:rsidRDefault="008B032F" w:rsidP="00555485">
      <w:pPr>
        <w:keepNext/>
        <w:rPr>
          <w:b/>
          <w:szCs w:val="20"/>
        </w:rPr>
      </w:pPr>
      <w:r>
        <w:rPr>
          <w:b/>
        </w:rPr>
        <w:t>Piezīmes par konkrētām valstīm</w:t>
      </w:r>
    </w:p>
    <w:p w14:paraId="70A2E46D" w14:textId="77777777" w:rsidR="004E0DC0" w:rsidRPr="00F8719D" w:rsidRDefault="004E0DC0" w:rsidP="00555485">
      <w:pPr>
        <w:keepNext/>
        <w:rPr>
          <w:lang w:val="en-GB"/>
        </w:rPr>
      </w:pPr>
    </w:p>
    <w:p w14:paraId="34222F45" w14:textId="77777777" w:rsidR="008B032F" w:rsidRPr="00F8719D" w:rsidRDefault="008B032F" w:rsidP="00555485">
      <w:pPr>
        <w:pStyle w:val="Heading1"/>
      </w:pPr>
      <w:r>
        <w:t>atzinīgi vērtē vēsturisko Prespas nolīgumu, kas 2018. gada jūnijā noslēgts starp Ziemeļmaķedoniju un Grieķiju, atrisinot 27 gadus ilgušo strīdu par nosaukumu;</w:t>
      </w:r>
    </w:p>
    <w:p w14:paraId="208AE9DA" w14:textId="77777777" w:rsidR="008B032F" w:rsidRPr="00F8719D" w:rsidRDefault="008B032F" w:rsidP="00555485">
      <w:pPr>
        <w:pStyle w:val="Heading1"/>
      </w:pPr>
      <w:r>
        <w:lastRenderedPageBreak/>
        <w:t>ir gandarīta, ka Padome ir piekritusi reaģēt uz Albānijas un Ziemeļmaķedonijas panākto progresu jomās, par kurām Padome ir panākusi vienprātību savos 2018. gada jūnija secinājumos, un ir noteikusi turpmāko virzību uz pievienošanās sarunu sākšanu ar abām valstīm;</w:t>
      </w:r>
    </w:p>
    <w:p w14:paraId="6FDAC47A" w14:textId="77777777" w:rsidR="003112C5" w:rsidRPr="00F8719D" w:rsidRDefault="003112C5" w:rsidP="00555485">
      <w:pPr>
        <w:rPr>
          <w:lang w:val="en-GB"/>
        </w:rPr>
      </w:pPr>
    </w:p>
    <w:p w14:paraId="36B0685E" w14:textId="77777777" w:rsidR="008B032F" w:rsidRPr="00F8719D" w:rsidRDefault="008B032F" w:rsidP="003112C5">
      <w:pPr>
        <w:pStyle w:val="Heading1"/>
      </w:pPr>
      <w:r>
        <w:t>pauž nožēlu par to, ka 2019. gada jūnijā notikušajās Albānijas pašvaldību vēlēšanās bija vērojams opozīcijas boikots un zema vēlētāju aktivitāte, un atkārtoti norāda, ka paplašināšanās process ir balstīts uz nopelniem un ir atkarīgs no demokrātijas principu un citu Kopenhāgenas kritēriju ievērošanas;</w:t>
      </w:r>
    </w:p>
    <w:p w14:paraId="28A0B54B" w14:textId="77777777" w:rsidR="004E0DC0" w:rsidRPr="00F8719D" w:rsidRDefault="004E0DC0" w:rsidP="00555485">
      <w:pPr>
        <w:rPr>
          <w:lang w:val="en-GB"/>
        </w:rPr>
      </w:pPr>
    </w:p>
    <w:p w14:paraId="3857BB3D" w14:textId="77777777" w:rsidR="008B032F" w:rsidRPr="00F8719D" w:rsidRDefault="008B032F" w:rsidP="00761E6C">
      <w:pPr>
        <w:pStyle w:val="Heading1"/>
      </w:pPr>
      <w:r>
        <w:t>ir nopietni nobažījusies par to, ka turpmākie Padomes lēmumi par Albāniju un Ziemeļmaķedoniju sākotnēji tika atlikti no 2019. gada jūnija līdz oktobrim, un pauž dziļu vilšanos par 2019. gada oktobrī Eiropadomes pieņemto lēmumu vēl vairāk aizkavēt ES pievienošanās sarunu uzsākšanu ar Albāniju un Ziemeļmaķedoniju, lai gan abas valstis ir pastāvīgi apliecinājušas savu apņemšanos tuvināties Eiropai; pauž nožēlu arī par to, ka minētais lēmums nav balstīts uz katras kandidātvalsts individuālu progresa novērtējumu, un brīdina, ka pozitīva signāla trūkums abām kandidātvalstīm varētu negatīvi ietekmēt arī vietējo un reģionālo līmeni; turklāt iesaka šo jautājumu pozitīvi atrisināt pirms ES un Rietumbalkānu valstu samita, kas notiks 2020. gada maijā Zagrebā;</w:t>
      </w:r>
    </w:p>
    <w:p w14:paraId="18B6E775" w14:textId="77777777" w:rsidR="004E0DC0" w:rsidRPr="00F8719D" w:rsidRDefault="004E0DC0" w:rsidP="00555485">
      <w:pPr>
        <w:rPr>
          <w:lang w:val="en-GB"/>
        </w:rPr>
      </w:pPr>
    </w:p>
    <w:p w14:paraId="3BDA343E" w14:textId="77777777" w:rsidR="006056C6" w:rsidRDefault="00761E6C" w:rsidP="006056C6">
      <w:pPr>
        <w:pStyle w:val="Heading1"/>
      </w:pPr>
      <w:r>
        <w:t>pilnībā atbalsta Eiropas Parlamenta 2019. gada 24. oktobra rezolūciju</w:t>
      </w:r>
      <w:r w:rsidRPr="00F8719D">
        <w:rPr>
          <w:rStyle w:val="FootnoteReference"/>
          <w:lang w:val="en-GB"/>
        </w:rPr>
        <w:footnoteReference w:id="2"/>
      </w:r>
      <w:r>
        <w:t xml:space="preserve"> par pievienošanās sarunu uzsākšanu ar Ziemeļmaķedoniju un Albāniju un stingri mudina Padomi ņemt vērā: lai ES paplašināšanās stratēģija raisītu uzticēšanos, tai jāspēj motivēt un sasniegt plānotos rezultātus, par kuriem visas puses iepriekš vienojušās, kā arī sniegt stingru un drošu perspektīvu visām attiecīgajām valstīm;</w:t>
      </w:r>
    </w:p>
    <w:p w14:paraId="2B336463" w14:textId="77777777" w:rsidR="006056C6" w:rsidRDefault="006056C6" w:rsidP="001B0588">
      <w:pPr>
        <w:rPr>
          <w:lang w:val="en-GB"/>
        </w:rPr>
      </w:pPr>
    </w:p>
    <w:p w14:paraId="6D9EF27E" w14:textId="77777777" w:rsidR="006056C6" w:rsidRPr="006056C6" w:rsidRDefault="006056C6">
      <w:pPr>
        <w:pStyle w:val="Heading1"/>
      </w:pPr>
      <w:r>
        <w:t>pauž bažas par to, ka progresa trūkums paplašināšanās procesā var tieši ietekmēt arī ES drošību un labklājību, jo tas var pakāpeniski orientēt visas Rietumbalkānu valstis uz trešām pusēm, kas jau cenšas palielināt savu ietekmi reģionā, tostarp – bet ne tikai – uz Krieviju un Ķīnu;</w:t>
      </w:r>
    </w:p>
    <w:p w14:paraId="05C9C563" w14:textId="77777777" w:rsidR="006056C6" w:rsidRPr="00F8719D" w:rsidRDefault="006056C6" w:rsidP="00555485">
      <w:pPr>
        <w:rPr>
          <w:lang w:val="en-GB"/>
        </w:rPr>
      </w:pPr>
    </w:p>
    <w:p w14:paraId="28A612F3" w14:textId="77777777" w:rsidR="008B032F" w:rsidRPr="00F8719D" w:rsidRDefault="008B032F" w:rsidP="00555485">
      <w:pPr>
        <w:pStyle w:val="Heading1"/>
      </w:pPr>
      <w:r>
        <w:t>ar bažām norāda, ka Serbijai un Melnkalnei ir apņēmīgāk jārīkojas būtiski svarīgās jomās, it sevišķi politiskās vides depolarizācijā, tostarp vietējā līmenī;</w:t>
      </w:r>
    </w:p>
    <w:p w14:paraId="0631BFA9" w14:textId="77777777" w:rsidR="004E0DC0" w:rsidRPr="00F8719D" w:rsidRDefault="004E0DC0" w:rsidP="00555485">
      <w:pPr>
        <w:rPr>
          <w:lang w:val="en-GB"/>
        </w:rPr>
      </w:pPr>
    </w:p>
    <w:p w14:paraId="3D925F88" w14:textId="77777777" w:rsidR="008B032F" w:rsidRPr="00F8719D" w:rsidRDefault="008B032F" w:rsidP="00555485">
      <w:pPr>
        <w:pStyle w:val="Heading1"/>
      </w:pPr>
      <w:r>
        <w:t>mudina visus Serbijas, Melnkalnes un Bosnijas un Hercegovinas politiskos spēkus un pārvaldes līmeņus cieši sadarboties, lai īstenotu EDSO/</w:t>
      </w:r>
      <w:r>
        <w:rPr>
          <w:i/>
        </w:rPr>
        <w:t>ODIHR</w:t>
      </w:r>
      <w:r>
        <w:t xml:space="preserve"> ieteikumus par vietējās vēlēšanu sistēmas uzlabošanu, un iesaistīties pārredzamas un iekļaujošas vietējās politiskās vides veidošanā, pamatojoties uz partiju debatēm, bez politiskā spiediena un bez politisko oponentu iebiedēšanas;</w:t>
      </w:r>
    </w:p>
    <w:p w14:paraId="3367B388" w14:textId="77777777" w:rsidR="004E0DC0" w:rsidRPr="00F8719D" w:rsidRDefault="004E0DC0" w:rsidP="00555485">
      <w:pPr>
        <w:rPr>
          <w:lang w:val="en-GB"/>
        </w:rPr>
      </w:pPr>
    </w:p>
    <w:p w14:paraId="2C5F3B0E" w14:textId="77777777" w:rsidR="008B032F" w:rsidRPr="00F8719D" w:rsidRDefault="008B032F" w:rsidP="00555485">
      <w:pPr>
        <w:pStyle w:val="Heading1"/>
      </w:pPr>
      <w:r>
        <w:t>aicina Eiropas Komisiju pievienošanās sarunās ar Serbiju pievērsties izskanējušajiem apgalvojumiem par demokrātiski ievēlētu opozīcijas partiju amatpersonu iebiedēšanu, sevišķi Paračinas, Šabacas un Čajetinas pašvaldībās;</w:t>
      </w:r>
    </w:p>
    <w:p w14:paraId="5C6948F9" w14:textId="77777777" w:rsidR="004E0DC0" w:rsidRPr="00F8719D" w:rsidRDefault="004E0DC0" w:rsidP="00555485">
      <w:pPr>
        <w:rPr>
          <w:lang w:val="en-GB"/>
        </w:rPr>
      </w:pPr>
    </w:p>
    <w:p w14:paraId="4E215DD6" w14:textId="77777777" w:rsidR="008B032F" w:rsidRPr="00F8719D" w:rsidRDefault="008B032F" w:rsidP="00555485">
      <w:pPr>
        <w:pStyle w:val="Heading1"/>
      </w:pPr>
      <w:r>
        <w:lastRenderedPageBreak/>
        <w:t>norāda, ka Bosnija un Hercegovina vēl pietiekami neatbilst Kopenhāgenas kritērijiem, un piekrīt, ka sarunas par pievienošanos būtu jāsāk tad, kad valsts šai jomā ir panākusi pietiekamu atbilstību;</w:t>
      </w:r>
    </w:p>
    <w:p w14:paraId="7119AB5D" w14:textId="77777777" w:rsidR="004E0DC0" w:rsidRPr="00F8719D" w:rsidRDefault="004E0DC0" w:rsidP="00555485">
      <w:pPr>
        <w:rPr>
          <w:lang w:val="en-GB"/>
        </w:rPr>
      </w:pPr>
    </w:p>
    <w:p w14:paraId="00CFF9B6" w14:textId="77777777" w:rsidR="008B032F" w:rsidRPr="00F8719D" w:rsidRDefault="008B032F" w:rsidP="00555485">
      <w:pPr>
        <w:pStyle w:val="Heading1"/>
      </w:pPr>
      <w:r>
        <w:t>atkārtoti pauž nopietnas bažas un satraukumu par to, ka Mostara Bosnijā un Hercegovinā ir vienīgā pašvaldība, kurā vietējās padomes vēlēšanas nav notikušas kopš 2008. gada;</w:t>
      </w:r>
    </w:p>
    <w:p w14:paraId="45AB7663" w14:textId="77777777" w:rsidR="004E0DC0" w:rsidRPr="00F8719D" w:rsidRDefault="004E0DC0" w:rsidP="00555485">
      <w:pPr>
        <w:rPr>
          <w:lang w:val="en-GB"/>
        </w:rPr>
      </w:pPr>
    </w:p>
    <w:p w14:paraId="5DE98171" w14:textId="77777777" w:rsidR="008B032F" w:rsidRPr="00FD45CE" w:rsidRDefault="008B032F" w:rsidP="00555485">
      <w:pPr>
        <w:pStyle w:val="Heading1"/>
        <w:rPr>
          <w:szCs w:val="20"/>
        </w:rPr>
      </w:pPr>
      <w:r>
        <w:t>ņemot vērā Bosnijas un Hercegovinas pieteikumu dalībai Eiropas Savienībā, aicina gan Mostaras vietējos politiskos līderus, gan Bosnijas un Hercegovinas federālo līmeni darīt galu šim Eiropas vietējo pašvaldību hartas 3. pantā noteikto principu bezprecedenta pārkāpumam, jo minētā harta ir saistoša visām Eiropas Padomes dalībvalstīm, tostarp Bosnijai un Hercegovinai;</w:t>
      </w:r>
    </w:p>
    <w:p w14:paraId="6217AA4F" w14:textId="77777777" w:rsidR="004E0DC0" w:rsidRPr="00F8719D" w:rsidRDefault="004E0DC0" w:rsidP="00555485">
      <w:pPr>
        <w:rPr>
          <w:lang w:val="en-GB"/>
        </w:rPr>
      </w:pPr>
    </w:p>
    <w:p w14:paraId="40ED85DF" w14:textId="77777777" w:rsidR="008B032F" w:rsidRPr="00FD45CE" w:rsidRDefault="008B032F" w:rsidP="00555485">
      <w:pPr>
        <w:pStyle w:val="Heading1"/>
        <w:rPr>
          <w:szCs w:val="20"/>
        </w:rPr>
      </w:pPr>
      <w:r>
        <w:t>norāda: ja saistībā ar Mostaras vēlēšanām netiks rasta izeja no strupceļa, tas nepārprotami kavēs Bosnijas un Hercegovinas pievienošanos Eiropas Savienībai, jo tādējādi pēc pievienošanās būtu pārkāpts Eiropas Savienības Pamattiesību hartas 40. pants, proti, ES pilsoņiem, kuri dzīvo šajā valstī, tiktu liegts balsot un kandidēt pašvaldību vēlēšanās;</w:t>
      </w:r>
    </w:p>
    <w:p w14:paraId="73358870" w14:textId="77777777" w:rsidR="004E0DC0" w:rsidRPr="00F8719D" w:rsidRDefault="004E0DC0" w:rsidP="00555485">
      <w:pPr>
        <w:rPr>
          <w:lang w:val="en-GB"/>
        </w:rPr>
      </w:pPr>
    </w:p>
    <w:p w14:paraId="67C01504" w14:textId="77777777" w:rsidR="008B032F" w:rsidRPr="00F8719D" w:rsidRDefault="008B032F" w:rsidP="00555485">
      <w:pPr>
        <w:pStyle w:val="Heading1"/>
      </w:pPr>
      <w:r>
        <w:t>atgādina: 2018. gada jūlijā Eiropas Komisija apliecināja, ka Kosova ir izpildījusi visus Padomes apstiprinātos vīzu režīma liberalizācijas kritērijus;</w:t>
      </w:r>
    </w:p>
    <w:p w14:paraId="4EF31CAF" w14:textId="77777777" w:rsidR="004E0DC0" w:rsidRPr="00F8719D" w:rsidRDefault="004E0DC0" w:rsidP="00555485">
      <w:pPr>
        <w:rPr>
          <w:lang w:val="en-GB"/>
        </w:rPr>
      </w:pPr>
    </w:p>
    <w:p w14:paraId="5FA0446F" w14:textId="77777777" w:rsidR="008B032F" w:rsidRPr="00F8719D" w:rsidRDefault="008B032F" w:rsidP="00555485">
      <w:pPr>
        <w:pStyle w:val="Heading1"/>
      </w:pPr>
      <w:r>
        <w:t>atzinīgi vērtē Eiropas Parlamenta atbalstu priekšlikumam liberalizēt vīzu režīmu Kosovas pasu turētājiem, kuru Eiropas Komisija pauda 2018. gada septembrī un 2019. gada martā un kuru 2019. gada septembrī izteica arī jaunā sasaukuma Pilsoņu brīvību, tieslietu un iekšlietu komiteja;</w:t>
      </w:r>
    </w:p>
    <w:p w14:paraId="226E2E84" w14:textId="77777777" w:rsidR="004E0DC0" w:rsidRPr="00F8719D" w:rsidRDefault="004E0DC0" w:rsidP="00555485">
      <w:pPr>
        <w:rPr>
          <w:lang w:val="en-GB"/>
        </w:rPr>
      </w:pPr>
    </w:p>
    <w:p w14:paraId="77FB4FC6" w14:textId="77777777" w:rsidR="008B032F" w:rsidRPr="00F8719D" w:rsidRDefault="008B032F" w:rsidP="00555485">
      <w:pPr>
        <w:pStyle w:val="Heading1"/>
      </w:pPr>
      <w:r>
        <w:t>aicina Padomi steidzami risināt jautājumu par vīzu režīma liberalizāciju ar Kosovu — vienīgo Rietumbalkānu valsti, kuras pilsoņiem joprojām ir vajadzīga vīza, lai ceļotu uz ES valstīm;</w:t>
      </w:r>
    </w:p>
    <w:p w14:paraId="7F304641" w14:textId="77777777" w:rsidR="004E0DC0" w:rsidRPr="00F8719D" w:rsidRDefault="004E0DC0" w:rsidP="00555485">
      <w:pPr>
        <w:rPr>
          <w:lang w:val="en-GB"/>
        </w:rPr>
      </w:pPr>
    </w:p>
    <w:p w14:paraId="7A041808" w14:textId="77777777" w:rsidR="008B032F" w:rsidRPr="00F8719D" w:rsidRDefault="008B032F" w:rsidP="005B233D">
      <w:pPr>
        <w:pStyle w:val="Heading1"/>
      </w:pPr>
      <w:r>
        <w:t>ar nožēlu norāda, ka galveno cilvēktiesību stāvoklis Turcijā turpina ievērojami pasliktināties, un ir vērojama būtiska lejupslīde tiesiskuma un pamattiesību jomā; turklāt pauž nožēlu, ka, stājoties spēkā konstitūcijas grozījumiem, tiek vājināta kontroles efektivitāte un mazinās politiskās sistēmas līdzsvars;</w:t>
      </w:r>
    </w:p>
    <w:p w14:paraId="50E474CE" w14:textId="77777777" w:rsidR="006056C6" w:rsidRPr="00F8719D" w:rsidRDefault="006056C6" w:rsidP="00555485">
      <w:pPr>
        <w:rPr>
          <w:lang w:val="en-GB"/>
        </w:rPr>
      </w:pPr>
    </w:p>
    <w:p w14:paraId="6761E5D0" w14:textId="4822AB5F" w:rsidR="005B233D" w:rsidRPr="00F8719D" w:rsidRDefault="005B233D" w:rsidP="006056C6">
      <w:pPr>
        <w:pStyle w:val="Heading1"/>
      </w:pPr>
      <w:r>
        <w:t>norāda uz 2018. gada jūnija Vispārējo lietu padomes secinājumiem, ka Turcijas pievienošanās sarunas ir faktiski apstājušās, ka nevar apsvērt sarunu sākšanu vai beigšanu par turpmākām sadaļām un ka nav paredzēts turpināt darbu virzībā uz muitas savienības modernizēšanu; pauž nožēlu, ka Turcija joprojām nepilda asociācijas nolīguma ar ES papildprotokola noteikumus un neatzīst Kipras Republiku; turklāt šajā kontekstā norāda, ka attiecībā uz Kipru tā jau iepriekš ir sīki izklāstījusi savas bažas un ieteikumus atzinumā par paplašināšanās tiesību aktu kopumu 2018. gadā; Komiteja arī ar nožēlu atzīmē, ka, neraugoties uz Eiropas Savienības atkārtotiem aicinājumiem Turcijai pārtraukt nelikumīgās darbības Vidusjūras austrumdaļā, Turcija turpina urbšanas darbības Kipras teritoriālajos ūdeņos, un atkārtoti apliecina pilnīgu solidaritāti ar Kipru attiecībā uz tās starptautisko atzīšanu, suverenitāti un tiesībām saskaņā ar starptautiskām tiesībām;</w:t>
      </w:r>
    </w:p>
    <w:p w14:paraId="59091337" w14:textId="77777777" w:rsidR="00033519" w:rsidRDefault="00033519" w:rsidP="00555485">
      <w:pPr>
        <w:rPr>
          <w:lang w:val="en-GB"/>
        </w:rPr>
      </w:pPr>
    </w:p>
    <w:p w14:paraId="4C3308B6" w14:textId="751535B9" w:rsidR="00033519" w:rsidRDefault="00033519" w:rsidP="001B0588">
      <w:pPr>
        <w:pStyle w:val="Heading1"/>
      </w:pPr>
      <w:r>
        <w:lastRenderedPageBreak/>
        <w:t>atgādina par Varošas (</w:t>
      </w:r>
      <w:r>
        <w:rPr>
          <w:i/>
          <w:iCs/>
        </w:rPr>
        <w:t>Varosha</w:t>
      </w:r>
      <w:r>
        <w:t>) statusa nozīmi, kā norādīts ANO Drošības padomes iepriekšējās rezolūcijās, tostarp Rezolūcijā Nr. 550 (1984) un Rezolūcijā Nr. 789 (1992), un atkārtoti norāda, ka nevajadzētu veikt nekādas darbības, kas neatbilst šīm rezolūcijām;</w:t>
      </w:r>
    </w:p>
    <w:p w14:paraId="5CE1FEE3" w14:textId="77777777" w:rsidR="00033519" w:rsidRPr="00F8719D" w:rsidRDefault="00033519" w:rsidP="00555485">
      <w:pPr>
        <w:rPr>
          <w:lang w:val="en-GB"/>
        </w:rPr>
      </w:pPr>
    </w:p>
    <w:p w14:paraId="64FC4352" w14:textId="49BAEEB8" w:rsidR="008B032F" w:rsidRPr="00F8719D" w:rsidRDefault="008B032F" w:rsidP="00876AAF">
      <w:pPr>
        <w:pStyle w:val="Heading1"/>
      </w:pPr>
      <w:r>
        <w:t xml:space="preserve">pauž nopietnas bažas par Turcijas vēlēšanu procesa likumību un integritāti, it īpaši par Turcijas Augstākās vēlēšanu padomes 2019. gadā pieņemto lēmumu par atkārtotām pašvaldību vēlēšanām Stambulā, kā arī par Turcijas iestāžu lēmumu aizstāt demokrātiski ievēlētos </w:t>
      </w:r>
      <w:r>
        <w:rPr>
          <w:i/>
          <w:iCs/>
        </w:rPr>
        <w:t>Diyarbakır</w:t>
      </w:r>
      <w:r>
        <w:t xml:space="preserve">, </w:t>
      </w:r>
      <w:r>
        <w:rPr>
          <w:i/>
          <w:iCs/>
        </w:rPr>
        <w:t xml:space="preserve">Mardin </w:t>
      </w:r>
      <w:r>
        <w:t xml:space="preserve">un </w:t>
      </w:r>
      <w:r>
        <w:rPr>
          <w:i/>
          <w:iCs/>
        </w:rPr>
        <w:t>Van</w:t>
      </w:r>
      <w:r>
        <w:t xml:space="preserve"> mērus ar ieceltiem provinču gubernatoriem, kas darbojas kā metropoļu mēri, un stingri nosoda papildu represijas pret pašvaldību padomju locekļiem un darbiniekiem, jo šāda rīcība neatbilst Eiropas vietējo pašvaldību hartas garam un principiem;</w:t>
      </w:r>
    </w:p>
    <w:p w14:paraId="3CAFA078" w14:textId="77777777" w:rsidR="004E0DC0" w:rsidRPr="00F8719D" w:rsidRDefault="004E0DC0" w:rsidP="00555485">
      <w:pPr>
        <w:rPr>
          <w:lang w:val="en-GB"/>
        </w:rPr>
      </w:pPr>
    </w:p>
    <w:p w14:paraId="38ABE2DA" w14:textId="77777777" w:rsidR="008B032F" w:rsidRPr="00F8719D" w:rsidRDefault="008B032F" w:rsidP="005B233D">
      <w:pPr>
        <w:pStyle w:val="Heading1"/>
      </w:pPr>
      <w:r>
        <w:t>atzīst, ka Turcija joprojām ir svarīgs ES partneris attiecībā uz migrāciju un bēgļiem, un atkārtoti pauž pārliecību, ka daļa ES piešķirto līdzekļu būtu jāatvēl vietējām un reģionālajām pašvaldībām, kas ir tieši iesaistītas pārvietoto personu un bēgļu migrācijas plūsmu pārvaldībā; ES un Turcijas atpakaļuzņemšanas nolīgums būtu pilnībā un efektīvi jāīsteno attiecībā uz visām dalībvalstīm, vienlaikus norādot, ka sadarbība tieslietu un iekšlietu jomā ar visām ES dalībvalstīm joprojām ir būtiska;</w:t>
      </w:r>
    </w:p>
    <w:p w14:paraId="352A9512" w14:textId="77777777" w:rsidR="004E0DC0" w:rsidRPr="00F8719D" w:rsidRDefault="004E0DC0" w:rsidP="00555485">
      <w:pPr>
        <w:rPr>
          <w:lang w:val="en-GB"/>
        </w:rPr>
      </w:pPr>
    </w:p>
    <w:p w14:paraId="3DA59F24" w14:textId="77777777" w:rsidR="008B032F" w:rsidRPr="00F8719D" w:rsidRDefault="008B032F" w:rsidP="00555485">
      <w:pPr>
        <w:pStyle w:val="Heading1"/>
      </w:pPr>
      <w:r>
        <w:t>aicina ES vietējās un reģionālās pašvaldības vēl vairāk pastiprināt sadarbību ar saviem līdzbiedriem kandidātvalstīs un potenciālajās kandidātvalstīs, atbalstīt viņu virzību uz padziļinātu integrāciju Eiropā un stiprināt viņu institucionālās un administratīvās spējas reģionālā un vietējā līmenī, kā arī viņu spējas popularizēt un ievērot Eiropas vērtības un principus;</w:t>
      </w:r>
    </w:p>
    <w:p w14:paraId="15D70C7C" w14:textId="77777777" w:rsidR="004E0DC0" w:rsidRPr="00F8719D" w:rsidRDefault="004E0DC0" w:rsidP="00555485">
      <w:pPr>
        <w:rPr>
          <w:lang w:val="en-GB"/>
        </w:rPr>
      </w:pPr>
    </w:p>
    <w:p w14:paraId="7606B3CE" w14:textId="77777777" w:rsidR="008B032F" w:rsidRPr="00F8719D" w:rsidRDefault="008B032F" w:rsidP="00555485">
      <w:pPr>
        <w:pStyle w:val="Heading1"/>
      </w:pPr>
      <w:r>
        <w:t>šajā saistībā atgādina, ka neaizstājama loma ir gan nacionālajām vietējo un reģionālo pašvaldību apvienībām, gan Dienvidaustrumeiropas Vietējo pašvaldību apvienību tīklam (</w:t>
      </w:r>
      <w:r>
        <w:rPr>
          <w:i/>
        </w:rPr>
        <w:t>NALAS</w:t>
      </w:r>
      <w:r>
        <w:t>), kas var atbalstīt vietējās un reģionālās pašvaldības publiskās pārvaldes reformu īstenošanā un to spēju veidošanā, lai uzlabotu pilnvaru realizēšanu un vietējo sabiedrisko pakalpojumu sniegšanu.</w:t>
      </w:r>
    </w:p>
    <w:p w14:paraId="7A2CDFF7" w14:textId="77777777" w:rsidR="004E0DC0" w:rsidRPr="00F8719D" w:rsidRDefault="004E0DC0" w:rsidP="00555485">
      <w:pPr>
        <w:rPr>
          <w:lang w:val="en-GB"/>
        </w:rPr>
      </w:pPr>
    </w:p>
    <w:p w14:paraId="269909EF" w14:textId="77777777" w:rsidR="008B032F" w:rsidRPr="00F8719D" w:rsidRDefault="008B032F" w:rsidP="00555485">
      <w:pPr>
        <w:keepNext/>
        <w:rPr>
          <w:b/>
          <w:szCs w:val="20"/>
        </w:rPr>
      </w:pPr>
      <w:r>
        <w:rPr>
          <w:b/>
        </w:rPr>
        <w:t>Vietējo un reģionālo pašvaldību loma paplašināšanās procesā</w:t>
      </w:r>
    </w:p>
    <w:p w14:paraId="581ECB66" w14:textId="77777777" w:rsidR="004E0DC0" w:rsidRPr="00F8719D" w:rsidRDefault="004E0DC0" w:rsidP="00555485">
      <w:pPr>
        <w:keepNext/>
        <w:rPr>
          <w:lang w:val="en-GB"/>
        </w:rPr>
      </w:pPr>
    </w:p>
    <w:p w14:paraId="306DDD06" w14:textId="77777777" w:rsidR="008B032F" w:rsidRPr="00F8719D" w:rsidRDefault="008B032F" w:rsidP="00555485">
      <w:pPr>
        <w:pStyle w:val="Heading1"/>
      </w:pPr>
      <w:r>
        <w:t>Uzsver, ka Eiropas Savienības paplašināšanās procesā būtu jāpiemēro arī tādi Eiropas principi kā subsidiaritāte, proporcionalitāte un daudzlīmeņu pārvaldība;</w:t>
      </w:r>
    </w:p>
    <w:p w14:paraId="01C50846" w14:textId="77777777" w:rsidR="004E0DC0" w:rsidRPr="00F8719D" w:rsidRDefault="004E0DC0" w:rsidP="00555485">
      <w:pPr>
        <w:rPr>
          <w:lang w:val="en-GB"/>
        </w:rPr>
      </w:pPr>
    </w:p>
    <w:p w14:paraId="7EDB17C7" w14:textId="77777777" w:rsidR="008B032F" w:rsidRPr="00F8719D" w:rsidRDefault="008B032F" w:rsidP="00555485">
      <w:pPr>
        <w:pStyle w:val="Heading1"/>
      </w:pPr>
      <w:r>
        <w:t>ir pārliecināta: lai paplašināšanās process būtu iekļaujošs un ilgtspējīgs, izšķirīga nozīme ir pašvaldību līdzdalībai. Lai panāktu vēlamo ilgtspējīgo ietekmi vietējā līmenī, ES paplašināšanās panākumi Rietumbalkānos būs atkarīgi no iedzīvotāju pastāvīga atbalsta un vietējo un reģionālo pašvaldību iesaistīšanas un partnerības starp vietējām, reģionālajām un centrālajām pārvaldes iestādēm, kā arī ar Eiropas Savienību;</w:t>
      </w:r>
    </w:p>
    <w:p w14:paraId="362C2FE5" w14:textId="77777777" w:rsidR="004E0DC0" w:rsidRPr="00F8719D" w:rsidRDefault="004E0DC0" w:rsidP="00555485">
      <w:pPr>
        <w:rPr>
          <w:lang w:val="en-GB"/>
        </w:rPr>
      </w:pPr>
    </w:p>
    <w:p w14:paraId="583645AC" w14:textId="77777777" w:rsidR="008B032F" w:rsidRPr="00F8719D" w:rsidRDefault="008B032F" w:rsidP="00555485">
      <w:pPr>
        <w:pStyle w:val="Heading1"/>
      </w:pPr>
      <w:r>
        <w:t xml:space="preserve">atgādina, ka vairāk nekā 60 % no ES </w:t>
      </w:r>
      <w:r>
        <w:rPr>
          <w:i/>
        </w:rPr>
        <w:t>acquis</w:t>
      </w:r>
      <w:r>
        <w:t xml:space="preserve"> tiek īstenoti vietējā līmenī, savukārt saskaņā ar pašreizējo daudzgadu finanšu shēmu gandrīz trešdaļa no ES kopējā budžeta ir paredzēta kohēzijas politikai, kas vērsta uz visiem Eiropas Savienības reģioniem un pilsētām;</w:t>
      </w:r>
    </w:p>
    <w:p w14:paraId="351BBD63" w14:textId="77777777" w:rsidR="004E0DC0" w:rsidRPr="00F8719D" w:rsidRDefault="004E0DC0" w:rsidP="00555485">
      <w:pPr>
        <w:rPr>
          <w:lang w:val="en-GB"/>
        </w:rPr>
      </w:pPr>
    </w:p>
    <w:p w14:paraId="043D5A02" w14:textId="77777777" w:rsidR="008B032F" w:rsidRPr="00F8719D" w:rsidRDefault="008B032F" w:rsidP="00555485">
      <w:pPr>
        <w:pStyle w:val="Heading1"/>
      </w:pPr>
      <w:r>
        <w:t xml:space="preserve">uzsver, ka vietējām un reģionālajām pašvaldībām ir svarīga nozīme paplašināšanās procesā ne tikai attiecībā uz politiskajiem kritērijiem, bet arī kā savas teritorijas ekonomiskās izaugsmes un </w:t>
      </w:r>
      <w:r>
        <w:lastRenderedPageBreak/>
        <w:t>ilgtspējīgas attīstības dzinējspēkiem un kā kvalitatīvu sabiedrisko pakalpojumu sniedzējām saviem iedzīvotājiem;</w:t>
      </w:r>
    </w:p>
    <w:p w14:paraId="40B2A670" w14:textId="77777777" w:rsidR="004E0DC0" w:rsidRPr="00F8719D" w:rsidRDefault="004E0DC0" w:rsidP="00555485">
      <w:pPr>
        <w:rPr>
          <w:lang w:val="en-GB"/>
        </w:rPr>
      </w:pPr>
    </w:p>
    <w:p w14:paraId="20A7FADE" w14:textId="77777777" w:rsidR="008B032F" w:rsidRPr="00F8719D" w:rsidRDefault="008B032F" w:rsidP="00555485">
      <w:pPr>
        <w:pStyle w:val="Heading1"/>
      </w:pPr>
      <w:r>
        <w:t>šajā saistībā apgalvo: lai ilgtspējīgā veidā varētu īstenot gan ES paplašināšanās stratēģiju attiecībā uz Rietumbalkāniem, gan sekmīgu Eiropas integrāciju nākotnē, ārkārtīgi svarīgi ir palielināt pašvaldību spēju pildīt minēto uzdevumu;</w:t>
      </w:r>
    </w:p>
    <w:p w14:paraId="674FEADE" w14:textId="77777777" w:rsidR="004E0DC0" w:rsidRPr="00F8719D" w:rsidRDefault="004E0DC0" w:rsidP="00555485">
      <w:pPr>
        <w:rPr>
          <w:lang w:val="en-GB"/>
        </w:rPr>
      </w:pPr>
    </w:p>
    <w:p w14:paraId="7FF226C7" w14:textId="77777777" w:rsidR="008B032F" w:rsidRPr="00F8719D" w:rsidRDefault="008B032F" w:rsidP="00555485">
      <w:pPr>
        <w:pStyle w:val="Heading1"/>
      </w:pPr>
      <w:r>
        <w:t>atzinīgi vērtē to, ka Eiropas Komisija ir atzinusi nepieciešamību ņemt vērā vietējo un reģionālo pašvaldību lomu un rast tādu līdzsvaru starp centrālo, reģionālo un vietējo pārvaldības līmeni, kāds vislabāk palīdz īstenot reformas un nodrošināt pakalpojumus iedzīvotājiem;</w:t>
      </w:r>
    </w:p>
    <w:p w14:paraId="07C6A239" w14:textId="77777777" w:rsidR="004E0DC0" w:rsidRPr="00F8719D" w:rsidRDefault="004E0DC0" w:rsidP="00555485">
      <w:pPr>
        <w:rPr>
          <w:lang w:val="en-GB"/>
        </w:rPr>
      </w:pPr>
    </w:p>
    <w:p w14:paraId="6A4A16FB" w14:textId="77777777" w:rsidR="008B032F" w:rsidRPr="00F8719D" w:rsidRDefault="008B032F" w:rsidP="00555485">
      <w:pPr>
        <w:pStyle w:val="Heading1"/>
      </w:pPr>
      <w:r>
        <w:t>atkārtoti pauž nožēlu par to, ka trūkst konkrētu politikas priekšlikumu par vietējām un reģionālajām pašvaldībām, uz ko Komiteja norādīja savā atzinumā par paplašināšanās tiesību aktu kopumu 2018. gadā;</w:t>
      </w:r>
    </w:p>
    <w:p w14:paraId="376096D1" w14:textId="77777777" w:rsidR="004E0DC0" w:rsidRPr="00F8719D" w:rsidRDefault="004E0DC0" w:rsidP="00555485">
      <w:pPr>
        <w:rPr>
          <w:lang w:val="en-GB"/>
        </w:rPr>
      </w:pPr>
    </w:p>
    <w:p w14:paraId="0F869E87" w14:textId="77777777" w:rsidR="008B032F" w:rsidRPr="00F8719D" w:rsidRDefault="008B032F" w:rsidP="00555485">
      <w:pPr>
        <w:pStyle w:val="Heading1"/>
      </w:pPr>
      <w:r>
        <w:t>aicina Eiropas Komisiju ierosināt konkrētus politikas pasākumus, rīkus un instrumentus, ar kuriem iesaistīt Rietumbalkānu vietējās un reģionālās pašvaldības, lai stiprinātu to lomu — iedzīvotājiem vistuvāko pārvaldības līmeni;</w:t>
      </w:r>
    </w:p>
    <w:p w14:paraId="3A7C6946" w14:textId="77777777" w:rsidR="008B032F" w:rsidRPr="00F8719D" w:rsidRDefault="008B032F" w:rsidP="00F8719D">
      <w:pPr>
        <w:pStyle w:val="Heading1"/>
        <w:numPr>
          <w:ilvl w:val="0"/>
          <w:numId w:val="0"/>
        </w:numPr>
        <w:rPr>
          <w:lang w:val="en-GB"/>
        </w:rPr>
      </w:pPr>
    </w:p>
    <w:p w14:paraId="51DF802A" w14:textId="77777777" w:rsidR="004E0DC0" w:rsidRPr="00F8719D" w:rsidRDefault="0094101A" w:rsidP="00F8719D">
      <w:pPr>
        <w:pStyle w:val="Heading1"/>
      </w:pPr>
      <w:r>
        <w:t xml:space="preserve">aicina Eiropas Komisiju izstrādāt praktisku instrumentu, ar ko atbalstīt vietējo un reģionālo pašvaldību efektīvu spēju veidošanu Rietumbalkānu valstīs, lai šīm valstīm palīdzētu vietējās un reģionālās politikas saskaņot ar </w:t>
      </w:r>
      <w:r>
        <w:rPr>
          <w:i/>
        </w:rPr>
        <w:t>acquis</w:t>
      </w:r>
      <w:r>
        <w:t xml:space="preserve">, izmantojot īpašu apmācību, mācīšanos no partneriem un paraugprakses apmaiņu visā reģionā, kā arī ar pašvaldību partneriem Eiropas Savienībā un šos pasākumus īstenojot saskaņā ar Vietējās administrācijas atbalsta instrumentu, reģionālo apmācības programmu vai </w:t>
      </w:r>
      <w:r>
        <w:rPr>
          <w:i/>
        </w:rPr>
        <w:t>Erasmus</w:t>
      </w:r>
      <w:r>
        <w:t xml:space="preserve"> programmu vietējā un reģionālā līmeņa pārstāvjiem;</w:t>
      </w:r>
    </w:p>
    <w:p w14:paraId="0644AE04" w14:textId="77777777" w:rsidR="00C5746C" w:rsidRPr="00F8719D" w:rsidRDefault="00C5746C" w:rsidP="00F8719D">
      <w:pPr>
        <w:pStyle w:val="Heading1"/>
        <w:numPr>
          <w:ilvl w:val="0"/>
          <w:numId w:val="0"/>
        </w:numPr>
        <w:rPr>
          <w:lang w:val="en-GB"/>
        </w:rPr>
      </w:pPr>
    </w:p>
    <w:p w14:paraId="13D4925E" w14:textId="77777777" w:rsidR="00DB44C4" w:rsidRPr="00F8719D" w:rsidRDefault="0094101A" w:rsidP="00F8719D">
      <w:pPr>
        <w:pStyle w:val="Heading1"/>
      </w:pPr>
      <w:r>
        <w:t xml:space="preserve">atkārtoti mudina Komisiju izvērst iniciatīvu </w:t>
      </w:r>
      <w:r>
        <w:rPr>
          <w:i/>
        </w:rPr>
        <w:t>SIGMA</w:t>
      </w:r>
      <w:r>
        <w:t xml:space="preserve"> (atbalsts pārvaldības un vadības uzlabošanai), tajā iekļaujot arī kandidātvalstu un potenciālo kandidātvalstu reģionālā un vietējā līmeņa pārvaldes iestādes, lai noteiktu decentralizētus valsts pārvaldes reformu modeļus un atbalstītu vietējās pārvaldības un vietējās publiskās pārvaldes uzlabošanu </w:t>
      </w:r>
      <w:r>
        <w:rPr>
          <w:i/>
        </w:rPr>
        <w:t>acquis</w:t>
      </w:r>
      <w:r>
        <w:t xml:space="preserve"> piemērošanas nolūkā;</w:t>
      </w:r>
    </w:p>
    <w:p w14:paraId="5CFFDB7D" w14:textId="77777777" w:rsidR="00C5746C" w:rsidRPr="00F8719D" w:rsidRDefault="00C5746C" w:rsidP="00F8719D">
      <w:pPr>
        <w:pStyle w:val="Heading1"/>
        <w:numPr>
          <w:ilvl w:val="0"/>
          <w:numId w:val="0"/>
        </w:numPr>
        <w:rPr>
          <w:lang w:val="en-GB"/>
        </w:rPr>
      </w:pPr>
    </w:p>
    <w:p w14:paraId="5E944537" w14:textId="77777777" w:rsidR="00DB44C4" w:rsidRPr="00F8719D" w:rsidRDefault="0094101A" w:rsidP="00F8719D">
      <w:pPr>
        <w:pStyle w:val="Heading1"/>
      </w:pPr>
      <w:r>
        <w:t xml:space="preserve">atkārtoti aicina Eiropas Komisiju izveidot </w:t>
      </w:r>
      <w:r>
        <w:rPr>
          <w:i/>
        </w:rPr>
        <w:t xml:space="preserve">ad hoc </w:t>
      </w:r>
      <w:r>
        <w:t xml:space="preserve">operatīvas metodes, kas ļautu izmantot </w:t>
      </w:r>
      <w:r>
        <w:rPr>
          <w:i/>
        </w:rPr>
        <w:t>TAIEX</w:t>
      </w:r>
      <w:r>
        <w:t xml:space="preserve"> un mērķsadarbības instrumentus sadarbībai starp dalībvalstu un kandidātvalstu, kā arī potenciālo kandidātvalstu vietējām un reģionālajām pašvaldībām;</w:t>
      </w:r>
    </w:p>
    <w:p w14:paraId="79304404" w14:textId="77777777" w:rsidR="00DB44C4" w:rsidRPr="00F8719D" w:rsidRDefault="00DB44C4" w:rsidP="00555485">
      <w:pPr>
        <w:rPr>
          <w:lang w:val="en-GB"/>
        </w:rPr>
      </w:pPr>
    </w:p>
    <w:p w14:paraId="4BAE4304" w14:textId="77777777" w:rsidR="008B032F" w:rsidRPr="00F8719D" w:rsidRDefault="008B032F" w:rsidP="00555485">
      <w:pPr>
        <w:pStyle w:val="Heading1"/>
      </w:pPr>
      <w:r>
        <w:t>pauž gatavību cieši sadarboties ar jauno Eiropas Komisiju un konkrēti ar kaimiņattiecību un paplašināšanās komisāru praktiskā šo instrumentu īstenošanā un izmantošanā vietējā un reģionālajā līmenī.</w:t>
      </w:r>
    </w:p>
    <w:p w14:paraId="774DCA24" w14:textId="77777777" w:rsidR="004E0DC0" w:rsidRPr="00F8719D" w:rsidRDefault="004E0DC0" w:rsidP="00555485">
      <w:pPr>
        <w:rPr>
          <w:lang w:val="en-GB"/>
        </w:rPr>
      </w:pPr>
    </w:p>
    <w:p w14:paraId="7E50B12C" w14:textId="77777777" w:rsidR="008B032F" w:rsidRPr="00F8719D" w:rsidRDefault="008B032F" w:rsidP="00555485">
      <w:pPr>
        <w:keepNext/>
        <w:rPr>
          <w:b/>
          <w:szCs w:val="20"/>
        </w:rPr>
      </w:pPr>
      <w:r>
        <w:rPr>
          <w:b/>
        </w:rPr>
        <w:t>Tiesiskums un pamattiesības</w:t>
      </w:r>
    </w:p>
    <w:p w14:paraId="78A9ECFA" w14:textId="77777777" w:rsidR="004E0DC0" w:rsidRPr="00F8719D" w:rsidRDefault="004E0DC0" w:rsidP="00555485">
      <w:pPr>
        <w:keepNext/>
        <w:rPr>
          <w:lang w:val="en-GB"/>
        </w:rPr>
      </w:pPr>
    </w:p>
    <w:p w14:paraId="29F526BC" w14:textId="77777777" w:rsidR="008B032F" w:rsidRPr="00F8719D" w:rsidRDefault="008B032F">
      <w:pPr>
        <w:pStyle w:val="Heading1"/>
      </w:pPr>
      <w:r>
        <w:t>Atkārtoti norāda, ka atbilstība Kopenhāgenas kritērijiem arī turpmāk ir galvenais faktors, kas ļauj novērtēt kandidātvalstu gatavību kļūt par ES dalībvalstīm, un pilnībā atbalsta taisnīgu un stingru nosacījumu principu un principu “pamatjautājumi vispirms”;</w:t>
      </w:r>
    </w:p>
    <w:p w14:paraId="3CDBD423" w14:textId="77777777" w:rsidR="004E0DC0" w:rsidRPr="00F8719D" w:rsidRDefault="004E0DC0" w:rsidP="00555485">
      <w:pPr>
        <w:rPr>
          <w:lang w:val="en-GB"/>
        </w:rPr>
      </w:pPr>
    </w:p>
    <w:p w14:paraId="58661463" w14:textId="77777777" w:rsidR="008B032F" w:rsidRPr="00F8719D" w:rsidRDefault="008B032F" w:rsidP="00555485">
      <w:pPr>
        <w:pStyle w:val="Heading1"/>
      </w:pPr>
      <w:r>
        <w:lastRenderedPageBreak/>
        <w:t>ar lielām bažām norāda, ka lielākajā daļā kandidātvalstu un potenciālo kandidātvalstu galvenā problēmu joma joprojām ir pienācīga demokrātisko iestāžu darbība, kā arī stabils progress tiesiskuma jomā;</w:t>
      </w:r>
    </w:p>
    <w:p w14:paraId="5F28F35A" w14:textId="77777777" w:rsidR="004E0DC0" w:rsidRPr="00F8719D" w:rsidRDefault="004E0DC0" w:rsidP="00555485">
      <w:pPr>
        <w:rPr>
          <w:lang w:val="en-GB"/>
        </w:rPr>
      </w:pPr>
    </w:p>
    <w:p w14:paraId="410CB849" w14:textId="77777777" w:rsidR="008B032F" w:rsidRPr="00F8719D" w:rsidRDefault="008B032F" w:rsidP="00555485">
      <w:pPr>
        <w:pStyle w:val="Heading1"/>
      </w:pPr>
      <w:r>
        <w:t>šajā saistībā ir vienlīdz nobažījusies par to, ka vide šajās valstīs kļūst arvien naidīgāka pilsoniskajai sabiedrībai, kā arī par negatīviem pavērsieniem vārda brīvības un plašsaziņas līdzekļu neatkarības jomā;</w:t>
      </w:r>
    </w:p>
    <w:p w14:paraId="20069446" w14:textId="77777777" w:rsidR="004E0DC0" w:rsidRPr="00F8719D" w:rsidRDefault="004E0DC0" w:rsidP="00555485">
      <w:pPr>
        <w:rPr>
          <w:lang w:val="en-GB"/>
        </w:rPr>
      </w:pPr>
    </w:p>
    <w:p w14:paraId="37730D68" w14:textId="77777777" w:rsidR="008B032F" w:rsidRPr="00F8719D" w:rsidRDefault="008B032F" w:rsidP="00555485">
      <w:pPr>
        <w:pStyle w:val="Heading1"/>
      </w:pPr>
      <w:r>
        <w:t>uzsver, ka vietējās un reģionālās pašvaldības atrodas tiešā tuvumā iedzīvotājiem, tāpēc tām ir izšķiroša nozīme Eiropas vērtību popularizēšanā un ievērošanā un tās ir pirmās, kas risina rasisma un naida runas problēmu, rūpējas par neaizsargātām iedzīvotāju grupām un minoritātēm, kā arī veicina sociālo kohēziju;</w:t>
      </w:r>
    </w:p>
    <w:p w14:paraId="53D62FAA" w14:textId="77777777" w:rsidR="004E0DC0" w:rsidRPr="00F8719D" w:rsidRDefault="004E0DC0" w:rsidP="00555485">
      <w:pPr>
        <w:rPr>
          <w:lang w:val="en-GB"/>
        </w:rPr>
      </w:pPr>
    </w:p>
    <w:p w14:paraId="5AEF6147" w14:textId="77777777" w:rsidR="008B032F" w:rsidRPr="00F8719D" w:rsidRDefault="008B032F" w:rsidP="00555485">
      <w:pPr>
        <w:pStyle w:val="Heading1"/>
      </w:pPr>
      <w:r>
        <w:t>ir stingri pārliecināta, ka vietējās un reģionālās pašvaldības pašas var pildīt nozīmīgāku lomu vietējās politiskās vides un sabiedriskās politiskās telpas veidošanā, un tās var uzņemties savu daļu atbildības dažu tiesiskuma un pamattiesību nepilnību novēršanā, kā to ir uzsvērusi Eiropas Komisija;</w:t>
      </w:r>
    </w:p>
    <w:p w14:paraId="2C73B670" w14:textId="77777777" w:rsidR="004E0DC0" w:rsidRPr="00F8719D" w:rsidRDefault="004E0DC0" w:rsidP="00555485">
      <w:pPr>
        <w:rPr>
          <w:lang w:val="en-GB"/>
        </w:rPr>
      </w:pPr>
    </w:p>
    <w:p w14:paraId="6E2AB1C3" w14:textId="49BD4C48" w:rsidR="008B032F" w:rsidRPr="00F8719D" w:rsidRDefault="008B032F" w:rsidP="00555485">
      <w:pPr>
        <w:pStyle w:val="Heading1"/>
      </w:pPr>
      <w:r>
        <w:t>aicina kandidātvalstu un potenciālo kandidātvalstu vietējās un reģionālās pašvaldības rīkoties enerģiskāk, lai panāktu konkrētus rezultātus, piemēram,</w:t>
      </w:r>
    </w:p>
    <w:p w14:paraId="76F28630" w14:textId="77777777" w:rsidR="004E0DC0" w:rsidRPr="001B0588" w:rsidRDefault="004E0DC0" w:rsidP="001B0588"/>
    <w:p w14:paraId="5112E57C" w14:textId="77777777" w:rsidR="008B032F" w:rsidRPr="00F8719D" w:rsidRDefault="008B032F" w:rsidP="00CD034F">
      <w:pPr>
        <w:pStyle w:val="Heading2"/>
      </w:pPr>
      <w:r>
        <w:t>radītu pozitīvu un labvēlīgu vidi pilsoniskās sabiedrības funkcionēšanai vietējā līmenī un iesaistītu pilsoniskās sabiedrības organizācijas tādā vietēja līmeņa politikas veidošanā, kas orientēta uz līdzdalību,</w:t>
      </w:r>
    </w:p>
    <w:p w14:paraId="5CFA9E3C" w14:textId="77777777" w:rsidR="00833949" w:rsidRPr="00F8719D" w:rsidRDefault="00833949" w:rsidP="00555485">
      <w:pPr>
        <w:rPr>
          <w:lang w:val="en-GB"/>
        </w:rPr>
      </w:pPr>
    </w:p>
    <w:p w14:paraId="15955BFC" w14:textId="77777777" w:rsidR="008B032F" w:rsidRPr="00F8719D" w:rsidRDefault="008B032F" w:rsidP="0094101A">
      <w:pPr>
        <w:pStyle w:val="Heading2"/>
      </w:pPr>
      <w:r>
        <w:t>saskaņā ar Eiropas Savienības Pamattiesību hartu apkarotu jebkādu diskrimināciju – neatkarīgi no tās iemesla –, jo īpaši tādu, kas vērsta pret personām ar invaliditāti, neaizsargātām grupām un etniskām minoritātēm, sevišķi romiem,</w:t>
      </w:r>
    </w:p>
    <w:p w14:paraId="1DF69383" w14:textId="77777777" w:rsidR="00833949" w:rsidRPr="00F8719D" w:rsidRDefault="00833949" w:rsidP="00555485">
      <w:pPr>
        <w:rPr>
          <w:lang w:val="en-GB"/>
        </w:rPr>
      </w:pPr>
    </w:p>
    <w:p w14:paraId="1785CE93" w14:textId="77777777" w:rsidR="008B032F" w:rsidRPr="00F8719D" w:rsidRDefault="008B032F" w:rsidP="00555485">
      <w:pPr>
        <w:pStyle w:val="Heading2"/>
      </w:pPr>
      <w:r>
        <w:t>mazinātu lesbiešu, geju, biseksuāļu, transpersonu un interseksuāļu atstumtību, marginalizāciju un diskrimināciju, kā arī apkarotu naida runu un vardarbību pret šīm grupām,</w:t>
      </w:r>
    </w:p>
    <w:p w14:paraId="2F15E00F" w14:textId="77777777" w:rsidR="00033519" w:rsidRPr="00F8719D" w:rsidRDefault="00033519" w:rsidP="00555485">
      <w:pPr>
        <w:rPr>
          <w:lang w:val="en-GB"/>
        </w:rPr>
      </w:pPr>
    </w:p>
    <w:p w14:paraId="75416175" w14:textId="77777777" w:rsidR="008B032F" w:rsidRPr="00F8719D" w:rsidRDefault="0094101A" w:rsidP="00555485">
      <w:pPr>
        <w:pStyle w:val="Heading2"/>
      </w:pPr>
      <w:r>
        <w:t>uzlabotu sieviešu pārstāvību visās vietējās un reģionālās publiskās pārvaldes jomās un kopumā nodrošinātu dzimumu līdztiesību, kā arī novērstu un apkarotu diskrimināciju un jebkāda veida vardarbību pret sievietēm;</w:t>
      </w:r>
    </w:p>
    <w:p w14:paraId="6844C6AE" w14:textId="77777777" w:rsidR="004E0DC0" w:rsidRPr="00F8719D" w:rsidRDefault="004E0DC0" w:rsidP="00555485">
      <w:pPr>
        <w:rPr>
          <w:lang w:val="en-GB"/>
        </w:rPr>
      </w:pPr>
    </w:p>
    <w:p w14:paraId="3186E0BF" w14:textId="2364F411" w:rsidR="00063D0B" w:rsidRPr="00F8719D" w:rsidRDefault="008B032F" w:rsidP="00555485">
      <w:pPr>
        <w:pStyle w:val="Heading1"/>
      </w:pPr>
      <w:r>
        <w:t>aicina Eiropas Komisiju atzīt vietējo un reģionālo pašvaldību lomu fundamentālu jautājumu risināšanā vietējā līmenī, veicināt to spēju un prasmju veidošanu tiesiskuma un pamattiesību jomā un atbalstīt tās, nodrošinot konkrētus rīkus un instrumentus šī uzdevuma pildīšanai;</w:t>
      </w:r>
    </w:p>
    <w:p w14:paraId="1E68C991" w14:textId="77777777" w:rsidR="004E0DC0" w:rsidRPr="00F8719D" w:rsidRDefault="004E0DC0" w:rsidP="00555485">
      <w:pPr>
        <w:rPr>
          <w:lang w:val="en-GB"/>
        </w:rPr>
      </w:pPr>
    </w:p>
    <w:p w14:paraId="350992C6" w14:textId="77777777" w:rsidR="008B032F" w:rsidRPr="00F8719D" w:rsidRDefault="008B032F" w:rsidP="00555485">
      <w:pPr>
        <w:keepNext/>
        <w:rPr>
          <w:b/>
          <w:szCs w:val="20"/>
        </w:rPr>
      </w:pPr>
      <w:r>
        <w:rPr>
          <w:b/>
        </w:rPr>
        <w:t>Vietējo un reģionālo pašvaldību loma Ilgtspējīgas attīstības programmā 2030. gadam</w:t>
      </w:r>
    </w:p>
    <w:p w14:paraId="4B507A44" w14:textId="77777777" w:rsidR="004E0DC0" w:rsidRPr="00F8719D" w:rsidRDefault="004E0DC0" w:rsidP="00555485">
      <w:pPr>
        <w:keepNext/>
        <w:rPr>
          <w:lang w:val="en-GB"/>
        </w:rPr>
      </w:pPr>
    </w:p>
    <w:p w14:paraId="696F4F5A" w14:textId="77777777" w:rsidR="008B032F" w:rsidRPr="00F8719D" w:rsidRDefault="008B032F" w:rsidP="00555485">
      <w:pPr>
        <w:pStyle w:val="Heading1"/>
      </w:pPr>
      <w:r>
        <w:t>vērš uzmanību uz savu neseno atzinumu “Ilgtspējīgas attīstības mērķi (IAM): pamats ilgtermiņa ES stratēģijai ilgtspējīgas Eiropas veidošanai līdz 2030. gadam”, kurā uzsvērts, ka, lai sasniegtu 65 % no 169 IAM mērķiem, to īstenošanā ir vajadzīga stingra reģionu un pilsētu iesaistīšanās;</w:t>
      </w:r>
    </w:p>
    <w:p w14:paraId="6E4428ED" w14:textId="77777777" w:rsidR="004E0DC0" w:rsidRPr="00F8719D" w:rsidRDefault="004E0DC0" w:rsidP="00555485">
      <w:pPr>
        <w:rPr>
          <w:lang w:val="en-GB"/>
        </w:rPr>
      </w:pPr>
    </w:p>
    <w:p w14:paraId="47E30841" w14:textId="77777777" w:rsidR="008B032F" w:rsidRPr="00F8719D" w:rsidRDefault="008B032F" w:rsidP="00555485">
      <w:pPr>
        <w:pStyle w:val="Heading1"/>
      </w:pPr>
      <w:r>
        <w:lastRenderedPageBreak/>
        <w:t>atgādina: lai panāktu, ka neviens netiek atstāts novārtā, visos pārvaldes līmeņos jānodrošina horizontāla integrācija un jāizstrādā savstarpēji papildinoši, saskaņoti un konkrētai vietai paredzēti politikas pasākumi;</w:t>
      </w:r>
    </w:p>
    <w:p w14:paraId="6BC07EB3" w14:textId="77777777" w:rsidR="004E0DC0" w:rsidRPr="00F8719D" w:rsidRDefault="004E0DC0" w:rsidP="00555485">
      <w:pPr>
        <w:rPr>
          <w:lang w:val="en-GB"/>
        </w:rPr>
      </w:pPr>
    </w:p>
    <w:p w14:paraId="52C9981B" w14:textId="77777777" w:rsidR="008B032F" w:rsidRPr="00F8719D" w:rsidRDefault="008B032F" w:rsidP="00555485">
      <w:pPr>
        <w:pStyle w:val="Heading1"/>
      </w:pPr>
      <w:r>
        <w:t>atgādina arī, ka vietējām un reģionālajām pašvaldībām ir noteicošā loma to mērķu sasniegšanā, kas noteikti ANO Parīzes nolīgumā par klimata pārmaiņām, un ka klimata politikai vietējā līmenī ir ārkārtīgi svarīga nozīme klimata pārmaiņu mazināšanā un pielāgošanās pasākumu īstenošanā, kā arī vietējo iespēju radīšanā ilgtspējīgiem ieguldījumiem un izaugsmei;</w:t>
      </w:r>
    </w:p>
    <w:p w14:paraId="1ADD200C" w14:textId="77777777" w:rsidR="004E0DC0" w:rsidRPr="00F8719D" w:rsidRDefault="004E0DC0" w:rsidP="00555485">
      <w:pPr>
        <w:rPr>
          <w:lang w:val="en-GB"/>
        </w:rPr>
      </w:pPr>
    </w:p>
    <w:p w14:paraId="302336D7" w14:textId="77777777" w:rsidR="008B032F" w:rsidRPr="00F8719D" w:rsidRDefault="008B032F" w:rsidP="0094101A">
      <w:pPr>
        <w:pStyle w:val="Heading1"/>
      </w:pPr>
      <w:r>
        <w:t>tādēļ ir pārliecināta, ka “Pilsētas mēru pakts klimata un enerģētikas jomā” kā augšupēja kustība varētu būt stimuls Rietumbalkānu valstu pilsētām un pašvaldībām sniegt ieguldījumu Parīzes nolīguma, Ilgtspējīgas attīstības programmas 2030. gadam un ilgtspējīgas attīstības mērķu īstenošanā, tos pielāgojot vietējiem apstākļiem;</w:t>
      </w:r>
    </w:p>
    <w:p w14:paraId="3500E702" w14:textId="77777777" w:rsidR="00033519" w:rsidRPr="00F8719D" w:rsidRDefault="00033519" w:rsidP="00555485">
      <w:pPr>
        <w:rPr>
          <w:lang w:val="en-GB"/>
        </w:rPr>
      </w:pPr>
    </w:p>
    <w:p w14:paraId="7EAAF83C" w14:textId="77777777" w:rsidR="008B032F" w:rsidRPr="00F8719D" w:rsidRDefault="008B032F" w:rsidP="00033519">
      <w:pPr>
        <w:pStyle w:val="Heading1"/>
      </w:pPr>
      <w:r>
        <w:t>mudina Eiropas Komisiju “Pilsētas mēru pakta klimata un enerģētikas jomā” turpmākajā attīstībā vai lī</w:t>
      </w:r>
      <w:bookmarkStart w:id="0" w:name="_GoBack"/>
      <w:bookmarkEnd w:id="0"/>
      <w:r>
        <w:t>dzīgās valstu un reģionālās iniciatīvās, kurās iesaistās vietējie un reģionālie dalībnieki, ciešāk iekļaut Rietumbalkānu valstis un it īpaši to vietējās un reģionālās pašvaldības, kā arī izmantot potenciālu, kas piemīt nacionālajām vietējo un reģionālo pašvaldību apvienībām un Dienvidaustrumeiropas Vietējo pašvaldību apvienību tīklam (</w:t>
      </w:r>
      <w:r>
        <w:rPr>
          <w:i/>
          <w:iCs/>
        </w:rPr>
        <w:t>NALAS</w:t>
      </w:r>
      <w:r>
        <w:t>), lai veicinātu vietējo klimata pasākumu un energoefektivitātes plānu, ilgtspējīgas pilsētu mobilitātes plānu un citu vietējo un reģionālo politikas instrumentu izstrādi un īstenošanu ar mērķi izpildīt 2030. gada programmu.</w:t>
      </w:r>
    </w:p>
    <w:p w14:paraId="00022510" w14:textId="77777777" w:rsidR="003A043C" w:rsidRPr="00F8719D" w:rsidRDefault="003A043C">
      <w:pPr>
        <w:rPr>
          <w:lang w:val="en-GB"/>
        </w:rPr>
      </w:pPr>
    </w:p>
    <w:p w14:paraId="3FB5AE24" w14:textId="77777777" w:rsidR="006D61F8" w:rsidRDefault="006D61F8">
      <w:pPr>
        <w:rPr>
          <w:lang w:val="en-GB"/>
        </w:rPr>
      </w:pPr>
    </w:p>
    <w:p w14:paraId="37E65F0A" w14:textId="77777777" w:rsidR="006D61F8" w:rsidRDefault="006D61F8" w:rsidP="001B0588">
      <w:pPr>
        <w:pStyle w:val="Normal0"/>
        <w:keepNext/>
        <w:suppressAutoHyphens/>
      </w:pPr>
      <w:r>
        <w:t>Briselē, 2020. gada 12. februārī</w:t>
      </w:r>
    </w:p>
    <w:p w14:paraId="1BD8D2CF" w14:textId="77777777" w:rsidR="006D61F8" w:rsidRDefault="006D61F8" w:rsidP="001B0588">
      <w:pPr>
        <w:pStyle w:val="Normal0"/>
        <w:keepNext/>
        <w:suppressAutoHyphens/>
      </w:pPr>
    </w:p>
    <w:tbl>
      <w:tblPr>
        <w:tblW w:w="0" w:type="auto"/>
        <w:tblLayout w:type="fixed"/>
        <w:tblLook w:val="0000" w:firstRow="0" w:lastRow="0" w:firstColumn="0" w:lastColumn="0" w:noHBand="0" w:noVBand="0"/>
      </w:tblPr>
      <w:tblGrid>
        <w:gridCol w:w="4644"/>
        <w:gridCol w:w="4645"/>
      </w:tblGrid>
      <w:tr w:rsidR="006D61F8" w:rsidRPr="00CE6684" w14:paraId="07EEA7CF" w14:textId="77777777" w:rsidTr="001B0588">
        <w:trPr>
          <w:cantSplit/>
        </w:trPr>
        <w:tc>
          <w:tcPr>
            <w:tcW w:w="4644" w:type="dxa"/>
          </w:tcPr>
          <w:p w14:paraId="681C104F" w14:textId="77777777" w:rsidR="006D61F8" w:rsidRPr="00CE6684" w:rsidRDefault="006D61F8" w:rsidP="001B0588">
            <w:pPr>
              <w:keepNext/>
              <w:jc w:val="center"/>
            </w:pPr>
            <w:r>
              <w:t>Eiropas Reģionu komitejas</w:t>
            </w:r>
            <w:r>
              <w:br/>
              <w:t>priekšsēdētājs</w:t>
            </w:r>
            <w:r>
              <w:br/>
            </w:r>
            <w:r>
              <w:br/>
            </w:r>
            <w:r>
              <w:br/>
            </w:r>
            <w:r>
              <w:br/>
            </w:r>
            <w:r>
              <w:br/>
            </w:r>
            <w:r>
              <w:rPr>
                <w:i/>
                <w:iCs/>
              </w:rPr>
              <w:t>Apostolos Tzitzikostas</w:t>
            </w:r>
          </w:p>
        </w:tc>
        <w:tc>
          <w:tcPr>
            <w:tcW w:w="4645" w:type="dxa"/>
          </w:tcPr>
          <w:p w14:paraId="17AAA0FC" w14:textId="77777777" w:rsidR="006D61F8" w:rsidRPr="00CE6684" w:rsidRDefault="006D61F8" w:rsidP="001B0588">
            <w:pPr>
              <w:keepNext/>
            </w:pPr>
          </w:p>
        </w:tc>
      </w:tr>
      <w:tr w:rsidR="006D61F8" w:rsidRPr="00CE6684" w14:paraId="088B0C24" w14:textId="77777777" w:rsidTr="001B0588">
        <w:trPr>
          <w:cantSplit/>
        </w:trPr>
        <w:tc>
          <w:tcPr>
            <w:tcW w:w="4644" w:type="dxa"/>
          </w:tcPr>
          <w:p w14:paraId="69A875E1" w14:textId="77777777" w:rsidR="006D61F8" w:rsidRPr="00CE6684" w:rsidRDefault="006D61F8" w:rsidP="00891C0B"/>
        </w:tc>
        <w:tc>
          <w:tcPr>
            <w:tcW w:w="4645" w:type="dxa"/>
          </w:tcPr>
          <w:p w14:paraId="7EBF3617" w14:textId="66D19847" w:rsidR="006D61F8" w:rsidRPr="00CE6684" w:rsidRDefault="006D61F8" w:rsidP="00A928D2">
            <w:pPr>
              <w:jc w:val="center"/>
            </w:pPr>
            <w:r>
              <w:t>Eiropas Reģionu komitejas</w:t>
            </w:r>
            <w:r>
              <w:br/>
              <w:t>ģenerālsekretārs</w:t>
            </w:r>
            <w:r>
              <w:br/>
            </w:r>
            <w:r>
              <w:br/>
            </w:r>
            <w:r>
              <w:br/>
            </w:r>
            <w:r>
              <w:br/>
            </w:r>
            <w:r>
              <w:br/>
            </w:r>
            <w:r>
              <w:rPr>
                <w:i/>
                <w:iCs/>
              </w:rPr>
              <w:t>Petr Blížkovský</w:t>
            </w:r>
            <w:r>
              <w:t xml:space="preserve"> </w:t>
            </w:r>
          </w:p>
        </w:tc>
      </w:tr>
    </w:tbl>
    <w:p w14:paraId="595D7740" w14:textId="7FDE8CFF" w:rsidR="006D61F8" w:rsidRDefault="006D61F8">
      <w:pPr>
        <w:rPr>
          <w:lang w:val="en-GB"/>
        </w:rPr>
      </w:pPr>
    </w:p>
    <w:p w14:paraId="17D3FF23" w14:textId="47B48737" w:rsidR="009B67BE" w:rsidRDefault="009B67BE">
      <w:pPr>
        <w:spacing w:line="240" w:lineRule="auto"/>
        <w:jc w:val="left"/>
      </w:pPr>
      <w:r>
        <w:br w:type="page"/>
      </w:r>
    </w:p>
    <w:p w14:paraId="73B42A03" w14:textId="77777777" w:rsidR="009B67BE" w:rsidRDefault="009B67BE">
      <w:pPr>
        <w:rPr>
          <w:lang w:val="en-GB"/>
        </w:rPr>
      </w:pPr>
    </w:p>
    <w:p w14:paraId="5E8C0F48" w14:textId="16C6B1EA" w:rsidR="00444A98" w:rsidRPr="006D61F8" w:rsidRDefault="00444A98" w:rsidP="001B0588">
      <w:pPr>
        <w:keepNext/>
        <w:keepLines/>
        <w:numPr>
          <w:ilvl w:val="0"/>
          <w:numId w:val="67"/>
        </w:numPr>
        <w:ind w:left="567" w:hanging="567"/>
        <w:rPr>
          <w:b/>
          <w:bCs/>
        </w:rPr>
      </w:pPr>
      <w:r>
        <w:rPr>
          <w:b/>
          <w:bCs/>
        </w:rPr>
        <w:t>KĀRTĪBA</w:t>
      </w:r>
    </w:p>
    <w:p w14:paraId="3E331439" w14:textId="77777777" w:rsidR="00444A98" w:rsidRPr="00F8719D" w:rsidRDefault="00444A98" w:rsidP="00555485">
      <w:pPr>
        <w:keepNext/>
        <w:keepLines/>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5441"/>
      </w:tblGrid>
      <w:tr w:rsidR="00183B81" w14:paraId="486B8D3A" w14:textId="77777777">
        <w:tc>
          <w:tcPr>
            <w:tcW w:w="3848" w:type="dxa"/>
            <w:noWrap/>
          </w:tcPr>
          <w:p w14:paraId="489BAB18" w14:textId="77777777" w:rsidR="00444A98" w:rsidRPr="00F8719D" w:rsidRDefault="00444A98">
            <w:pPr>
              <w:jc w:val="left"/>
              <w:rPr>
                <w:b/>
                <w:bCs/>
              </w:rPr>
            </w:pPr>
            <w:r>
              <w:rPr>
                <w:b/>
                <w:bCs/>
              </w:rPr>
              <w:t>Nosaukums</w:t>
            </w:r>
          </w:p>
          <w:p w14:paraId="16FF9023" w14:textId="77777777" w:rsidR="00444A98" w:rsidRPr="00F8719D" w:rsidRDefault="00444A98">
            <w:pPr>
              <w:jc w:val="left"/>
              <w:rPr>
                <w:lang w:val="en-GB"/>
              </w:rPr>
            </w:pPr>
          </w:p>
        </w:tc>
        <w:tc>
          <w:tcPr>
            <w:tcW w:w="5441" w:type="dxa"/>
            <w:noWrap/>
          </w:tcPr>
          <w:p w14:paraId="65494F14" w14:textId="77777777" w:rsidR="00444A98" w:rsidRPr="00F8719D" w:rsidRDefault="003C7E2D">
            <w:r>
              <w:t>Paplašināšanās tiesību aktu kopums 2019. gadā</w:t>
            </w:r>
          </w:p>
        </w:tc>
      </w:tr>
      <w:tr w:rsidR="00183B81" w14:paraId="3575C32C" w14:textId="77777777">
        <w:tc>
          <w:tcPr>
            <w:tcW w:w="3848" w:type="dxa"/>
            <w:noWrap/>
          </w:tcPr>
          <w:p w14:paraId="6115D78A" w14:textId="77777777" w:rsidR="00444A98" w:rsidRPr="00F8719D" w:rsidRDefault="00444A98">
            <w:pPr>
              <w:jc w:val="left"/>
              <w:rPr>
                <w:b/>
                <w:bCs/>
              </w:rPr>
            </w:pPr>
            <w:r>
              <w:rPr>
                <w:b/>
                <w:bCs/>
              </w:rPr>
              <w:t xml:space="preserve">Atsauces dokumenti </w:t>
            </w:r>
          </w:p>
        </w:tc>
        <w:tc>
          <w:tcPr>
            <w:tcW w:w="5441" w:type="dxa"/>
            <w:noWrap/>
          </w:tcPr>
          <w:p w14:paraId="1DFAB16F" w14:textId="77777777" w:rsidR="00444A98" w:rsidRPr="00F8719D" w:rsidRDefault="003C7E2D">
            <w:r>
              <w:t>COM(2019) 260 final; SWD(2019) 215 final; SWD(2019) 216 final; SWD(2019) 217 final; SWD(2019) 218 final; SWD(2019) 219 final; SWD(2019) 220 final</w:t>
            </w:r>
          </w:p>
        </w:tc>
      </w:tr>
      <w:tr w:rsidR="00183B81" w14:paraId="2467E934" w14:textId="77777777">
        <w:tc>
          <w:tcPr>
            <w:tcW w:w="3848" w:type="dxa"/>
            <w:noWrap/>
          </w:tcPr>
          <w:p w14:paraId="01CD2C48" w14:textId="77777777" w:rsidR="00444A98" w:rsidRPr="00F8719D" w:rsidRDefault="00444A98">
            <w:pPr>
              <w:jc w:val="left"/>
              <w:rPr>
                <w:b/>
                <w:bCs/>
              </w:rPr>
            </w:pPr>
            <w:r>
              <w:rPr>
                <w:b/>
                <w:bCs/>
              </w:rPr>
              <w:t>Juridiskais pamats</w:t>
            </w:r>
          </w:p>
        </w:tc>
        <w:tc>
          <w:tcPr>
            <w:tcW w:w="5441" w:type="dxa"/>
            <w:noWrap/>
          </w:tcPr>
          <w:p w14:paraId="37286999" w14:textId="77777777" w:rsidR="00444A98" w:rsidRPr="00F8719D" w:rsidRDefault="003C7E2D">
            <w:r>
              <w:t>Pašiniciatīvas atzinums (LESD 307. panta pirmā daļa, Reglamenta 41. panta b) apakšpunkta i) punkts)</w:t>
            </w:r>
          </w:p>
        </w:tc>
      </w:tr>
      <w:tr w:rsidR="00183B81" w14:paraId="5A8CBD6C" w14:textId="77777777">
        <w:tc>
          <w:tcPr>
            <w:tcW w:w="3848" w:type="dxa"/>
            <w:noWrap/>
          </w:tcPr>
          <w:p w14:paraId="416A3978" w14:textId="77777777" w:rsidR="00444A98" w:rsidRPr="00F8719D" w:rsidRDefault="00444A98">
            <w:pPr>
              <w:jc w:val="left"/>
              <w:rPr>
                <w:b/>
                <w:bCs/>
              </w:rPr>
            </w:pPr>
            <w:r>
              <w:rPr>
                <w:b/>
                <w:bCs/>
              </w:rPr>
              <w:t>Reglamentā noteiktā kārtība</w:t>
            </w:r>
          </w:p>
        </w:tc>
        <w:tc>
          <w:tcPr>
            <w:tcW w:w="5441" w:type="dxa"/>
            <w:noWrap/>
          </w:tcPr>
          <w:p w14:paraId="232B98AC" w14:textId="77777777" w:rsidR="00444A98" w:rsidRPr="00F8719D" w:rsidRDefault="003C7E2D">
            <w:r>
              <w:t>Fakultatīvs atzinuma pieprasījums</w:t>
            </w:r>
          </w:p>
        </w:tc>
      </w:tr>
      <w:tr w:rsidR="00183B81" w14:paraId="3452D46E" w14:textId="77777777">
        <w:tc>
          <w:tcPr>
            <w:tcW w:w="3848" w:type="dxa"/>
          </w:tcPr>
          <w:p w14:paraId="644BC840" w14:textId="77777777" w:rsidR="00444A98" w:rsidRPr="00F8719D" w:rsidRDefault="00444A98">
            <w:pPr>
              <w:jc w:val="left"/>
            </w:pPr>
            <w:r>
              <w:rPr>
                <w:b/>
                <w:bCs/>
              </w:rPr>
              <w:t>Komisijas vēstules datums</w:t>
            </w:r>
          </w:p>
        </w:tc>
        <w:tc>
          <w:tcPr>
            <w:tcW w:w="5441" w:type="dxa"/>
            <w:noWrap/>
          </w:tcPr>
          <w:p w14:paraId="4A4E2E4B" w14:textId="77777777" w:rsidR="00444A98" w:rsidRPr="00F8719D" w:rsidRDefault="00EC346E">
            <w:r>
              <w:t>2019. gada 29. maijs</w:t>
            </w:r>
          </w:p>
        </w:tc>
      </w:tr>
      <w:tr w:rsidR="00183B81" w14:paraId="605D20E6" w14:textId="77777777">
        <w:tc>
          <w:tcPr>
            <w:tcW w:w="3848" w:type="dxa"/>
          </w:tcPr>
          <w:p w14:paraId="68AC49FD" w14:textId="77777777" w:rsidR="00444A98" w:rsidRPr="00F8719D" w:rsidRDefault="00444A98" w:rsidP="00876AAF">
            <w:pPr>
              <w:jc w:val="left"/>
            </w:pPr>
            <w:r>
              <w:rPr>
                <w:b/>
                <w:bCs/>
              </w:rPr>
              <w:t>Priekšsēdētāja lēmuma datums</w:t>
            </w:r>
          </w:p>
        </w:tc>
        <w:tc>
          <w:tcPr>
            <w:tcW w:w="5441" w:type="dxa"/>
            <w:noWrap/>
          </w:tcPr>
          <w:p w14:paraId="349F5A6F" w14:textId="77777777" w:rsidR="00444A98" w:rsidRPr="00F8719D" w:rsidRDefault="008319F4">
            <w:r>
              <w:t>Trešdien, 2019. gada 12. jūnijā</w:t>
            </w:r>
          </w:p>
        </w:tc>
      </w:tr>
      <w:tr w:rsidR="00183B81" w14:paraId="40EA7E88" w14:textId="77777777">
        <w:tc>
          <w:tcPr>
            <w:tcW w:w="3848" w:type="dxa"/>
            <w:noWrap/>
          </w:tcPr>
          <w:p w14:paraId="6FC409D1" w14:textId="77777777" w:rsidR="00444A98" w:rsidRPr="00F8719D" w:rsidRDefault="00444A98">
            <w:pPr>
              <w:jc w:val="left"/>
              <w:rPr>
                <w:b/>
                <w:bCs/>
              </w:rPr>
            </w:pPr>
            <w:r>
              <w:rPr>
                <w:b/>
                <w:bCs/>
              </w:rPr>
              <w:t>Atbildīgā komisija</w:t>
            </w:r>
          </w:p>
        </w:tc>
        <w:tc>
          <w:tcPr>
            <w:tcW w:w="5441" w:type="dxa"/>
            <w:noWrap/>
          </w:tcPr>
          <w:p w14:paraId="4EB99734" w14:textId="77777777" w:rsidR="00444A98" w:rsidRPr="00F8719D" w:rsidRDefault="003C7E2D">
            <w:r>
              <w:t>Pilsoniskuma, pārvaldības, institucionālo lietu un ārlietu komisija</w:t>
            </w:r>
          </w:p>
        </w:tc>
      </w:tr>
      <w:tr w:rsidR="00183B81" w14:paraId="24E7CF16" w14:textId="77777777">
        <w:tc>
          <w:tcPr>
            <w:tcW w:w="3848" w:type="dxa"/>
            <w:noWrap/>
          </w:tcPr>
          <w:p w14:paraId="7F04FCAC" w14:textId="77777777" w:rsidR="00444A98" w:rsidRPr="00F8719D" w:rsidRDefault="00444A98">
            <w:pPr>
              <w:jc w:val="left"/>
              <w:rPr>
                <w:b/>
                <w:bCs/>
              </w:rPr>
            </w:pPr>
            <w:r>
              <w:rPr>
                <w:b/>
                <w:bCs/>
              </w:rPr>
              <w:t>Ziņotājs</w:t>
            </w:r>
          </w:p>
        </w:tc>
        <w:tc>
          <w:tcPr>
            <w:tcW w:w="5441" w:type="dxa"/>
            <w:noWrap/>
          </w:tcPr>
          <w:p w14:paraId="7D5E4772" w14:textId="77777777" w:rsidR="00444A98" w:rsidRPr="00F8719D" w:rsidRDefault="003C7E2D">
            <w:r>
              <w:rPr>
                <w:i/>
              </w:rPr>
              <w:t>Jaroslav HLINKA</w:t>
            </w:r>
            <w:r>
              <w:t xml:space="preserve"> (SK/PSE)</w:t>
            </w:r>
          </w:p>
        </w:tc>
      </w:tr>
      <w:tr w:rsidR="00183B81" w14:paraId="2AEF2922" w14:textId="77777777">
        <w:tc>
          <w:tcPr>
            <w:tcW w:w="3848" w:type="dxa"/>
            <w:noWrap/>
          </w:tcPr>
          <w:p w14:paraId="6C003D68" w14:textId="77777777" w:rsidR="00444A98" w:rsidRPr="00F8719D" w:rsidRDefault="00444A98">
            <w:pPr>
              <w:jc w:val="left"/>
              <w:rPr>
                <w:b/>
                <w:bCs/>
              </w:rPr>
            </w:pPr>
            <w:r>
              <w:rPr>
                <w:b/>
                <w:bCs/>
              </w:rPr>
              <w:t>Paskaidrojuma raksts</w:t>
            </w:r>
          </w:p>
        </w:tc>
        <w:tc>
          <w:tcPr>
            <w:tcW w:w="5441" w:type="dxa"/>
            <w:noWrap/>
          </w:tcPr>
          <w:p w14:paraId="6040A462" w14:textId="77777777" w:rsidR="00444A98" w:rsidRPr="00F8719D" w:rsidRDefault="00444A98">
            <w:pPr>
              <w:rPr>
                <w:lang w:val="en-GB"/>
              </w:rPr>
            </w:pPr>
          </w:p>
        </w:tc>
      </w:tr>
      <w:tr w:rsidR="00183B81" w14:paraId="0E7CF671" w14:textId="77777777">
        <w:tc>
          <w:tcPr>
            <w:tcW w:w="3848" w:type="dxa"/>
            <w:noWrap/>
          </w:tcPr>
          <w:p w14:paraId="3409B58D" w14:textId="77777777" w:rsidR="00444A98" w:rsidRPr="00F8719D" w:rsidRDefault="00444A98">
            <w:pPr>
              <w:jc w:val="left"/>
              <w:rPr>
                <w:b/>
                <w:bCs/>
              </w:rPr>
            </w:pPr>
            <w:r>
              <w:rPr>
                <w:b/>
                <w:bCs/>
              </w:rPr>
              <w:t xml:space="preserve">Datums, kad izskatīts komisijā </w:t>
            </w:r>
          </w:p>
        </w:tc>
        <w:tc>
          <w:tcPr>
            <w:tcW w:w="5441" w:type="dxa"/>
            <w:noWrap/>
          </w:tcPr>
          <w:p w14:paraId="73869E8A" w14:textId="77777777" w:rsidR="00444A98" w:rsidRPr="00F8719D" w:rsidRDefault="003C7E2D">
            <w:r>
              <w:t>2019. gada 25. jūnijs</w:t>
            </w:r>
          </w:p>
        </w:tc>
      </w:tr>
      <w:tr w:rsidR="00183B81" w14:paraId="7D72D086" w14:textId="77777777">
        <w:tc>
          <w:tcPr>
            <w:tcW w:w="3848" w:type="dxa"/>
            <w:noWrap/>
          </w:tcPr>
          <w:p w14:paraId="6B070C83" w14:textId="77777777" w:rsidR="00444A98" w:rsidRPr="00F8719D" w:rsidRDefault="00444A98">
            <w:pPr>
              <w:jc w:val="left"/>
              <w:rPr>
                <w:b/>
                <w:bCs/>
              </w:rPr>
            </w:pPr>
            <w:r>
              <w:rPr>
                <w:b/>
                <w:bCs/>
              </w:rPr>
              <w:t xml:space="preserve">Datums, kad pieņemts komisijā </w:t>
            </w:r>
          </w:p>
        </w:tc>
        <w:tc>
          <w:tcPr>
            <w:tcW w:w="5441" w:type="dxa"/>
            <w:noWrap/>
          </w:tcPr>
          <w:p w14:paraId="0877F807" w14:textId="77777777" w:rsidR="00444A98" w:rsidRPr="00F8719D" w:rsidRDefault="003C7E2D">
            <w:r>
              <w:t>2019. gada 14. novembris</w:t>
            </w:r>
          </w:p>
        </w:tc>
      </w:tr>
      <w:tr w:rsidR="00183B81" w14:paraId="00D960AA" w14:textId="77777777">
        <w:tc>
          <w:tcPr>
            <w:tcW w:w="3848" w:type="dxa"/>
            <w:noWrap/>
          </w:tcPr>
          <w:p w14:paraId="38B6966C" w14:textId="77777777" w:rsidR="00444A98" w:rsidRPr="00F8719D" w:rsidRDefault="00444A98">
            <w:pPr>
              <w:jc w:val="left"/>
              <w:rPr>
                <w:b/>
                <w:bCs/>
              </w:rPr>
            </w:pPr>
            <w:r>
              <w:rPr>
                <w:b/>
                <w:bCs/>
              </w:rPr>
              <w:t>Komisijas balsojuma rezultāts</w:t>
            </w:r>
          </w:p>
          <w:p w14:paraId="4FB57CE2" w14:textId="77777777" w:rsidR="00444A98" w:rsidRPr="00F8719D" w:rsidRDefault="00444A98">
            <w:pPr>
              <w:jc w:val="left"/>
              <w:rPr>
                <w:b/>
                <w:bCs/>
              </w:rPr>
            </w:pPr>
            <w:r>
              <w:rPr>
                <w:b/>
                <w:bCs/>
              </w:rPr>
              <w:t>(ar balsu vairākumu / vienprātīgi)</w:t>
            </w:r>
          </w:p>
        </w:tc>
        <w:tc>
          <w:tcPr>
            <w:tcW w:w="5441" w:type="dxa"/>
            <w:noWrap/>
          </w:tcPr>
          <w:p w14:paraId="0084C72B" w14:textId="77777777" w:rsidR="00444A98" w:rsidRPr="00F8719D" w:rsidRDefault="00B221E7">
            <w:r>
              <w:t>Pieņemts ar balsu vairākumu</w:t>
            </w:r>
          </w:p>
        </w:tc>
      </w:tr>
      <w:tr w:rsidR="00183B81" w14:paraId="24EB8F77" w14:textId="77777777">
        <w:tc>
          <w:tcPr>
            <w:tcW w:w="3848" w:type="dxa"/>
            <w:noWrap/>
          </w:tcPr>
          <w:p w14:paraId="2E5E1B66" w14:textId="340BD60C" w:rsidR="00444A98" w:rsidRPr="00F8719D" w:rsidRDefault="006D61F8">
            <w:pPr>
              <w:jc w:val="left"/>
              <w:rPr>
                <w:b/>
                <w:bCs/>
              </w:rPr>
            </w:pPr>
            <w:r>
              <w:rPr>
                <w:b/>
                <w:bCs/>
              </w:rPr>
              <w:t xml:space="preserve">Pieņemts plenārsesijā </w:t>
            </w:r>
          </w:p>
        </w:tc>
        <w:tc>
          <w:tcPr>
            <w:tcW w:w="5441" w:type="dxa"/>
            <w:noWrap/>
          </w:tcPr>
          <w:p w14:paraId="6B4DDB86" w14:textId="451F6134" w:rsidR="00444A98" w:rsidRPr="00F8719D" w:rsidRDefault="002A59DF">
            <w:r>
              <w:t>2020. gada 12. februārī</w:t>
            </w:r>
          </w:p>
        </w:tc>
      </w:tr>
      <w:tr w:rsidR="00183B81" w14:paraId="1B4FE715" w14:textId="77777777">
        <w:tc>
          <w:tcPr>
            <w:tcW w:w="3848" w:type="dxa"/>
            <w:noWrap/>
          </w:tcPr>
          <w:p w14:paraId="7BEB9A20" w14:textId="77777777" w:rsidR="00444A98" w:rsidRPr="00F8719D" w:rsidRDefault="00444A98">
            <w:pPr>
              <w:jc w:val="left"/>
              <w:rPr>
                <w:b/>
                <w:bCs/>
              </w:rPr>
            </w:pPr>
            <w:r>
              <w:rPr>
                <w:b/>
                <w:bCs/>
              </w:rPr>
              <w:t xml:space="preserve">Iepriekšējie Komitejas atzinumi </w:t>
            </w:r>
          </w:p>
        </w:tc>
        <w:tc>
          <w:tcPr>
            <w:tcW w:w="5441" w:type="dxa"/>
            <w:noWrap/>
          </w:tcPr>
          <w:p w14:paraId="1884ABEC" w14:textId="77777777" w:rsidR="004E63C4" w:rsidRPr="00F8719D" w:rsidRDefault="004E63C4" w:rsidP="00CD034F">
            <w:pPr>
              <w:spacing w:line="240" w:lineRule="auto"/>
            </w:pPr>
            <w:r>
              <w:t>(CdR 2352/2018) Paplašināšanās tiesību aktu kopums 2018</w:t>
            </w:r>
          </w:p>
          <w:p w14:paraId="34C43E99" w14:textId="77777777" w:rsidR="004E63C4" w:rsidRPr="00F8719D" w:rsidRDefault="004E63C4" w:rsidP="00CD034F">
            <w:pPr>
              <w:spacing w:line="240" w:lineRule="auto"/>
            </w:pPr>
            <w:r>
              <w:t xml:space="preserve">Ziņotājs: </w:t>
            </w:r>
            <w:r>
              <w:rPr>
                <w:i/>
              </w:rPr>
              <w:t>Franco Iacop</w:t>
            </w:r>
            <w:r>
              <w:t xml:space="preserve"> (IT/PSE)</w:t>
            </w:r>
          </w:p>
          <w:p w14:paraId="67A24075" w14:textId="77777777" w:rsidR="004E63C4" w:rsidRPr="00F8719D" w:rsidRDefault="004E63C4" w:rsidP="00CD034F">
            <w:pPr>
              <w:spacing w:line="240" w:lineRule="auto"/>
              <w:rPr>
                <w:lang w:val="en-GB"/>
              </w:rPr>
            </w:pPr>
          </w:p>
          <w:p w14:paraId="568FB047" w14:textId="77777777" w:rsidR="004E63C4" w:rsidRPr="00F8719D" w:rsidRDefault="004E63C4" w:rsidP="00CD034F">
            <w:pPr>
              <w:spacing w:line="240" w:lineRule="auto"/>
            </w:pPr>
            <w:r>
              <w:t>(CdR 65/2018) Paplašināšanās: Rietumbalkānu valstu vietējo un reģionālo pašvaldību iekļaušana ES makroreģionālās, pārrobežu un citās starpvalstu sadarbības iniciatīvās</w:t>
            </w:r>
          </w:p>
          <w:p w14:paraId="616A8396" w14:textId="77777777" w:rsidR="004E63C4" w:rsidRPr="00F8719D" w:rsidRDefault="004E63C4" w:rsidP="00CD034F">
            <w:pPr>
              <w:spacing w:line="240" w:lineRule="auto"/>
            </w:pPr>
            <w:r>
              <w:t xml:space="preserve">Ziņotājs: </w:t>
            </w:r>
            <w:r>
              <w:rPr>
                <w:i/>
              </w:rPr>
              <w:t>Franz Schausberger</w:t>
            </w:r>
            <w:r>
              <w:t xml:space="preserve"> (AT/PPE)</w:t>
            </w:r>
          </w:p>
          <w:p w14:paraId="4E46EBA1" w14:textId="77777777" w:rsidR="004E63C4" w:rsidRPr="00F8719D" w:rsidRDefault="004E63C4" w:rsidP="00CD034F">
            <w:pPr>
              <w:spacing w:line="240" w:lineRule="auto"/>
              <w:rPr>
                <w:lang w:val="en-GB"/>
              </w:rPr>
            </w:pPr>
          </w:p>
          <w:p w14:paraId="11CA6D09" w14:textId="77777777" w:rsidR="004E63C4" w:rsidRPr="00F8719D" w:rsidRDefault="004E63C4" w:rsidP="00CD034F">
            <w:pPr>
              <w:spacing w:line="240" w:lineRule="auto"/>
            </w:pPr>
            <w:r>
              <w:t>(CdR 93/2017) ES paplašināšanās stratēģija 2016.–2017. gadā</w:t>
            </w:r>
          </w:p>
          <w:p w14:paraId="1DC5BB2D" w14:textId="77777777" w:rsidR="004E63C4" w:rsidRPr="00F8719D" w:rsidRDefault="004E63C4" w:rsidP="00CD034F">
            <w:pPr>
              <w:spacing w:line="240" w:lineRule="auto"/>
            </w:pPr>
            <w:r>
              <w:t xml:space="preserve">Ziņotājs: </w:t>
            </w:r>
            <w:r>
              <w:rPr>
                <w:i/>
              </w:rPr>
              <w:t>Rait Pihelgas</w:t>
            </w:r>
            <w:r>
              <w:t xml:space="preserve"> (ET/ALDE)</w:t>
            </w:r>
          </w:p>
          <w:p w14:paraId="45AA7D12" w14:textId="77777777" w:rsidR="004E63C4" w:rsidRPr="00F8719D" w:rsidRDefault="004E63C4" w:rsidP="00CD034F">
            <w:pPr>
              <w:spacing w:line="240" w:lineRule="auto"/>
              <w:rPr>
                <w:lang w:val="en-GB"/>
              </w:rPr>
            </w:pPr>
          </w:p>
          <w:p w14:paraId="388CFF92" w14:textId="77777777" w:rsidR="004E63C4" w:rsidRPr="00F8719D" w:rsidRDefault="004E63C4" w:rsidP="00CD034F">
            <w:pPr>
              <w:spacing w:line="240" w:lineRule="auto"/>
            </w:pPr>
            <w:r>
              <w:t>(CdR 5896/2015) Paplašināšanās stratēģija un galvenie uzdevumi 2015.-2016. gadā</w:t>
            </w:r>
          </w:p>
          <w:p w14:paraId="14354A53" w14:textId="77777777" w:rsidR="004E63C4" w:rsidRPr="00F8719D" w:rsidRDefault="004E63C4" w:rsidP="00CD034F">
            <w:pPr>
              <w:spacing w:line="240" w:lineRule="auto"/>
            </w:pPr>
            <w:r>
              <w:t xml:space="preserve">Ziņotāja: </w:t>
            </w:r>
            <w:r>
              <w:rPr>
                <w:i/>
              </w:rPr>
              <w:t>Anna Magyar</w:t>
            </w:r>
            <w:r>
              <w:t xml:space="preserve"> (HU/PPE)</w:t>
            </w:r>
          </w:p>
          <w:p w14:paraId="5B71142A" w14:textId="77777777" w:rsidR="004E63C4" w:rsidRPr="00F8719D" w:rsidRDefault="004E63C4" w:rsidP="00CD034F">
            <w:pPr>
              <w:spacing w:line="240" w:lineRule="auto"/>
              <w:rPr>
                <w:lang w:val="en-GB"/>
              </w:rPr>
            </w:pPr>
          </w:p>
          <w:p w14:paraId="1C1F6A13" w14:textId="77777777" w:rsidR="004E63C4" w:rsidRPr="00F8719D" w:rsidRDefault="004E63C4" w:rsidP="00CD034F">
            <w:pPr>
              <w:spacing w:line="240" w:lineRule="auto"/>
            </w:pPr>
            <w:r>
              <w:t xml:space="preserve">(CdR 5726/2014) Paplašināšanās stratēģija un galvenie uzdevumi 2014.–2015. gadā </w:t>
            </w:r>
          </w:p>
          <w:p w14:paraId="7C351412" w14:textId="77777777" w:rsidR="004E63C4" w:rsidRPr="00F8719D" w:rsidRDefault="004E63C4" w:rsidP="00CD034F">
            <w:pPr>
              <w:spacing w:line="240" w:lineRule="auto"/>
            </w:pPr>
            <w:r>
              <w:t xml:space="preserve">Ziņotājs: </w:t>
            </w:r>
            <w:r>
              <w:rPr>
                <w:i/>
              </w:rPr>
              <w:t>Franz Schausberger</w:t>
            </w:r>
            <w:r>
              <w:t xml:space="preserve"> (AT/PPE)</w:t>
            </w:r>
          </w:p>
        </w:tc>
      </w:tr>
      <w:tr w:rsidR="00183B81" w14:paraId="495AD6B7" w14:textId="77777777">
        <w:tc>
          <w:tcPr>
            <w:tcW w:w="3848" w:type="dxa"/>
            <w:noWrap/>
          </w:tcPr>
          <w:p w14:paraId="6360E3DF" w14:textId="77777777" w:rsidR="00444A98" w:rsidRPr="00F8719D" w:rsidRDefault="00444A98">
            <w:pPr>
              <w:jc w:val="left"/>
              <w:rPr>
                <w:b/>
                <w:bCs/>
              </w:rPr>
            </w:pPr>
            <w:r>
              <w:rPr>
                <w:b/>
                <w:bCs/>
              </w:rPr>
              <w:t>Datums, kad apspriests subsidiaritātes uzraudzības tīklā</w:t>
            </w:r>
          </w:p>
        </w:tc>
        <w:tc>
          <w:tcPr>
            <w:tcW w:w="5441" w:type="dxa"/>
            <w:noWrap/>
          </w:tcPr>
          <w:p w14:paraId="1712DAA6" w14:textId="77777777" w:rsidR="00444A98" w:rsidRPr="00F8719D" w:rsidRDefault="004E63C4">
            <w:r>
              <w:t>—</w:t>
            </w:r>
          </w:p>
        </w:tc>
      </w:tr>
    </w:tbl>
    <w:p w14:paraId="3CEBFE1A" w14:textId="77777777" w:rsidR="00F860A6" w:rsidRDefault="00F860A6">
      <w:pPr>
        <w:jc w:val="center"/>
        <w:rPr>
          <w:lang w:val="en-GB"/>
        </w:rPr>
      </w:pPr>
    </w:p>
    <w:p w14:paraId="447FFA32" w14:textId="77777777" w:rsidR="00444A98" w:rsidRPr="00FD45CE" w:rsidRDefault="00444A98">
      <w:pPr>
        <w:jc w:val="center"/>
      </w:pPr>
      <w:r>
        <w:t>_____________</w:t>
      </w:r>
    </w:p>
    <w:sectPr w:rsidR="00444A98" w:rsidRPr="00FD45CE" w:rsidSect="00A928D2">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72E6E" w14:textId="77777777" w:rsidR="00444A98" w:rsidRDefault="00444A98">
      <w:r>
        <w:separator/>
      </w:r>
    </w:p>
  </w:endnote>
  <w:endnote w:type="continuationSeparator" w:id="0">
    <w:p w14:paraId="1D57FA25" w14:textId="77777777" w:rsidR="00444A98" w:rsidRDefault="0044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Malgun Gothic Semilight"/>
    <w:panose1 w:val="02020500000000000000"/>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7B5DE" w14:textId="2B7600E3" w:rsidR="006E1FB3" w:rsidRPr="00A928D2" w:rsidRDefault="00A928D2" w:rsidP="001B0588">
    <w:pPr>
      <w:pStyle w:val="Footer"/>
    </w:pPr>
    <w:r>
      <w:t xml:space="preserve">COR-2019-02727-00-00-AC-TRA (EN) </w:t>
    </w:r>
    <w:r>
      <w:fldChar w:fldCharType="begin"/>
    </w:r>
    <w:r>
      <w:instrText xml:space="preserve"> PAGE  \* Arabic  \* MERGEFORMAT </w:instrText>
    </w:r>
    <w:r>
      <w:fldChar w:fldCharType="separate"/>
    </w:r>
    <w:r w:rsidR="00CD034F">
      <w:rPr>
        <w:noProof/>
      </w:rPr>
      <w:t>1</w:t>
    </w:r>
    <w:r>
      <w:fldChar w:fldCharType="end"/>
    </w:r>
    <w:r>
      <w:t>/</w:t>
    </w:r>
    <w:r w:rsidR="00CD034F">
      <w:fldChar w:fldCharType="begin"/>
    </w:r>
    <w:r w:rsidR="00CD034F">
      <w:instrText xml:space="preserve"> NUMPAGES </w:instrText>
    </w:r>
    <w:r w:rsidR="00CD034F">
      <w:fldChar w:fldCharType="separate"/>
    </w:r>
    <w:r w:rsidR="00CD034F">
      <w:rPr>
        <w:noProof/>
      </w:rPr>
      <w:t>10</w:t>
    </w:r>
    <w:r w:rsidR="00CD034F">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0C5" w14:textId="77777777" w:rsidR="00FC2093" w:rsidRPr="00A928D2" w:rsidRDefault="00FC2093" w:rsidP="00A928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60BD" w14:textId="664A065E" w:rsidR="00FC2093" w:rsidRPr="00A928D2" w:rsidRDefault="00A928D2" w:rsidP="00A928D2">
    <w:pPr>
      <w:pStyle w:val="Footer"/>
    </w:pPr>
    <w:r>
      <w:t xml:space="preserve">COR-2019-02727-00-00-AC-TRA (EN) </w:t>
    </w:r>
    <w:r>
      <w:fldChar w:fldCharType="begin"/>
    </w:r>
    <w:r>
      <w:instrText xml:space="preserve"> PAGE  \* Arabic  \* MERGEFORMAT </w:instrText>
    </w:r>
    <w:r>
      <w:fldChar w:fldCharType="separate"/>
    </w:r>
    <w:r w:rsidR="00CD034F">
      <w:rPr>
        <w:noProof/>
      </w:rPr>
      <w:t>9</w:t>
    </w:r>
    <w:r>
      <w:fldChar w:fldCharType="end"/>
    </w:r>
    <w:r>
      <w:t>/</w:t>
    </w:r>
    <w:r w:rsidR="00CD034F">
      <w:fldChar w:fldCharType="begin"/>
    </w:r>
    <w:r w:rsidR="00CD034F">
      <w:instrText xml:space="preserve"> NUMPAGES </w:instrText>
    </w:r>
    <w:r w:rsidR="00CD034F">
      <w:fldChar w:fldCharType="separate"/>
    </w:r>
    <w:r w:rsidR="00CD034F">
      <w:rPr>
        <w:noProof/>
      </w:rPr>
      <w:t>10</w:t>
    </w:r>
    <w:r w:rsidR="00CD034F">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A9BFB" w14:textId="77777777" w:rsidR="00FC2093" w:rsidRPr="00A928D2" w:rsidRDefault="00FC2093" w:rsidP="00A92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7106" w14:textId="77777777" w:rsidR="00444A98" w:rsidRDefault="00444A98">
      <w:r>
        <w:separator/>
      </w:r>
    </w:p>
  </w:footnote>
  <w:footnote w:type="continuationSeparator" w:id="0">
    <w:p w14:paraId="62AC0447" w14:textId="77777777" w:rsidR="00444A98" w:rsidRDefault="00444A98">
      <w:r>
        <w:continuationSeparator/>
      </w:r>
    </w:p>
  </w:footnote>
  <w:footnote w:id="1">
    <w:p w14:paraId="0EBDDEE5" w14:textId="77777777" w:rsidR="00CE6C40" w:rsidRPr="00CE6C40" w:rsidRDefault="00CE6C40">
      <w:pPr>
        <w:pStyle w:val="FootnoteText"/>
      </w:pPr>
      <w:r>
        <w:rPr>
          <w:rStyle w:val="FootnoteReference"/>
        </w:rPr>
        <w:sym w:font="Symbol" w:char="F02A"/>
      </w:r>
      <w:r>
        <w:t xml:space="preserve"> </w:t>
      </w:r>
      <w:r>
        <w:tab/>
        <w:t>Šis nosaukums neskar nostājas par statusu un atbilst ANO DP Rezolūcijai 1244/1999 un Starptautiskās Tiesas atzinumam par Kosovas neatkarības deklarāciju.</w:t>
      </w:r>
    </w:p>
  </w:footnote>
  <w:footnote w:id="2">
    <w:p w14:paraId="251CA4DD" w14:textId="77777777" w:rsidR="00761E6C" w:rsidRPr="00761E6C" w:rsidRDefault="00761E6C">
      <w:pPr>
        <w:pStyle w:val="FootnoteText"/>
      </w:pPr>
      <w:r>
        <w:rPr>
          <w:rStyle w:val="FootnoteReference"/>
        </w:rPr>
        <w:footnoteRef/>
      </w:r>
      <w:r>
        <w:t xml:space="preserve"> </w:t>
      </w:r>
      <w:r>
        <w:tab/>
        <w:t>EP Rezolūcija 2019/2883(RSP).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F5F58" w14:textId="77777777" w:rsidR="00FC2093" w:rsidRPr="00A928D2" w:rsidRDefault="00FC2093" w:rsidP="00A92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491D" w14:textId="05FC9439" w:rsidR="00FC2093" w:rsidRPr="00A928D2" w:rsidRDefault="00FC2093" w:rsidP="00A928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6C9E" w14:textId="77777777" w:rsidR="00FC2093" w:rsidRPr="00A928D2" w:rsidRDefault="00FC2093" w:rsidP="00A92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DF100A1E"/>
    <w:lvl w:ilvl="0">
      <w:start w:val="1"/>
      <w:numFmt w:val="decimal"/>
      <w:pStyle w:val="Heading1"/>
      <w:lvlText w:val="%1."/>
      <w:lvlJc w:val="left"/>
      <w:pPr>
        <w:tabs>
          <w:tab w:val="num" w:pos="567"/>
        </w:tabs>
        <w:ind w:left="567" w:hanging="567"/>
      </w:pPr>
      <w:rPr>
        <w:rFonts w:hint="default"/>
        <w:b w: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2054697D"/>
    <w:multiLevelType w:val="hybridMultilevel"/>
    <w:tmpl w:val="7576BDE0"/>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960A7F"/>
    <w:multiLevelType w:val="hybridMultilevel"/>
    <w:tmpl w:val="B9D25A84"/>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7B0160"/>
    <w:multiLevelType w:val="hybridMultilevel"/>
    <w:tmpl w:val="E9C829A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D921A8"/>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C56566"/>
    <w:multiLevelType w:val="hybridMultilevel"/>
    <w:tmpl w:val="A50C394E"/>
    <w:lvl w:ilvl="0" w:tplc="87125F4E">
      <w:start w:val="1"/>
      <w:numFmt w:val="bullet"/>
      <w:lvlRestart w:val="0"/>
      <w:lvlText w:val=""/>
      <w:lvlJc w:val="left"/>
      <w:pPr>
        <w:tabs>
          <w:tab w:val="num" w:pos="720"/>
        </w:tabs>
        <w:ind w:left="1089" w:hanging="369"/>
      </w:pPr>
      <w:rPr>
        <w:rFonts w:ascii="Symbol" w:hAnsi="Symbol"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6D6FF8"/>
    <w:multiLevelType w:val="hybridMultilevel"/>
    <w:tmpl w:val="ABC6607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227B42"/>
    <w:multiLevelType w:val="hybridMultilevel"/>
    <w:tmpl w:val="D7C6597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5F1A45"/>
    <w:multiLevelType w:val="hybridMultilevel"/>
    <w:tmpl w:val="FB72D82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0435DA"/>
    <w:multiLevelType w:val="hybridMultilevel"/>
    <w:tmpl w:val="E10ADE12"/>
    <w:lvl w:ilvl="0" w:tplc="70329F46">
      <w:numFmt w:val="bullet"/>
      <w:lvlText w:val="-"/>
      <w:lvlJc w:val="left"/>
      <w:pPr>
        <w:ind w:left="360" w:hanging="360"/>
      </w:pPr>
      <w:rPr>
        <w:rFonts w:ascii="Times New Roman" w:eastAsia="Times New Roman" w:hAnsi="Times New Roman"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15:restartNumberingAfterBreak="0">
    <w:nsid w:val="59C65A12"/>
    <w:multiLevelType w:val="hybridMultilevel"/>
    <w:tmpl w:val="36164AD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D91568"/>
    <w:multiLevelType w:val="hybridMultilevel"/>
    <w:tmpl w:val="F4DE7EBC"/>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D0555C"/>
    <w:multiLevelType w:val="hybridMultilevel"/>
    <w:tmpl w:val="DF126144"/>
    <w:lvl w:ilvl="0" w:tplc="015ED63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6E063133"/>
    <w:multiLevelType w:val="hybridMultilevel"/>
    <w:tmpl w:val="37BA42EA"/>
    <w:lvl w:ilvl="0" w:tplc="61429412">
      <w:start w:val="1"/>
      <w:numFmt w:val="bullet"/>
      <w:lvlRestart w:val="0"/>
      <w:lvlText w:val="–"/>
      <w:lvlJc w:val="left"/>
      <w:pPr>
        <w:tabs>
          <w:tab w:val="num" w:pos="1089"/>
        </w:tabs>
        <w:ind w:left="1089" w:hanging="369"/>
      </w:pPr>
      <w:rPr>
        <w:rFonts w:ascii="Times New Roman" w:hAnsi="Times New Roman"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20B5A11"/>
    <w:multiLevelType w:val="hybridMultilevel"/>
    <w:tmpl w:val="2EF85972"/>
    <w:lvl w:ilvl="0" w:tplc="011E477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BC5746"/>
    <w:multiLevelType w:val="hybridMultilevel"/>
    <w:tmpl w:val="CA7EF60E"/>
    <w:lvl w:ilvl="0" w:tplc="E9DC4696">
      <w:start w:val="1"/>
      <w:numFmt w:val="upperRoman"/>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15"/>
  </w:num>
  <w:num w:numId="4">
    <w:abstractNumId w:val="6"/>
  </w:num>
  <w:num w:numId="5">
    <w:abstractNumId w:val="8"/>
  </w:num>
  <w:num w:numId="6">
    <w:abstractNumId w:val="3"/>
  </w:num>
  <w:num w:numId="7">
    <w:abstractNumId w:val="1"/>
  </w:num>
  <w:num w:numId="8">
    <w:abstractNumId w:val="13"/>
  </w:num>
  <w:num w:numId="9">
    <w:abstractNumId w:val="9"/>
  </w:num>
  <w:num w:numId="10">
    <w:abstractNumId w:val="12"/>
  </w:num>
  <w:num w:numId="11">
    <w:abstractNumId w:val="2"/>
  </w:num>
  <w:num w:numId="12">
    <w:abstractNumId w:val="7"/>
  </w:num>
  <w:num w:numId="13">
    <w:abstractNumId w:val="17"/>
  </w:num>
  <w:num w:numId="14">
    <w:abstractNumId w:val="10"/>
  </w:num>
  <w:num w:numId="15">
    <w:abstractNumId w:val="4"/>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16"/>
  </w:num>
  <w:num w:numId="68">
    <w:abstractNumId w:val="14"/>
  </w:num>
  <w:num w:numId="69">
    <w:abstractNumId w:val="11"/>
  </w:num>
  <w:num w:numId="70">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B94"/>
    <w:rsid w:val="000130C2"/>
    <w:rsid w:val="00020D7F"/>
    <w:rsid w:val="0003063D"/>
    <w:rsid w:val="00031D54"/>
    <w:rsid w:val="00033519"/>
    <w:rsid w:val="0004792D"/>
    <w:rsid w:val="00050181"/>
    <w:rsid w:val="000615B3"/>
    <w:rsid w:val="00063D0B"/>
    <w:rsid w:val="00067BA8"/>
    <w:rsid w:val="00076736"/>
    <w:rsid w:val="00080EC3"/>
    <w:rsid w:val="00083AE8"/>
    <w:rsid w:val="00090EFF"/>
    <w:rsid w:val="0009583E"/>
    <w:rsid w:val="000B3EFB"/>
    <w:rsid w:val="000B74D3"/>
    <w:rsid w:val="000C3BC1"/>
    <w:rsid w:val="000D6A84"/>
    <w:rsid w:val="000F4240"/>
    <w:rsid w:val="00101FBB"/>
    <w:rsid w:val="001050CC"/>
    <w:rsid w:val="00112E32"/>
    <w:rsid w:val="0012190B"/>
    <w:rsid w:val="0013749C"/>
    <w:rsid w:val="001449B8"/>
    <w:rsid w:val="0015645B"/>
    <w:rsid w:val="00183B81"/>
    <w:rsid w:val="001B0588"/>
    <w:rsid w:val="001B33A4"/>
    <w:rsid w:val="001C66A9"/>
    <w:rsid w:val="001E5620"/>
    <w:rsid w:val="001E600C"/>
    <w:rsid w:val="001F1AB8"/>
    <w:rsid w:val="002033F5"/>
    <w:rsid w:val="002054D0"/>
    <w:rsid w:val="002302F1"/>
    <w:rsid w:val="00254B94"/>
    <w:rsid w:val="0026767E"/>
    <w:rsid w:val="00286317"/>
    <w:rsid w:val="00293319"/>
    <w:rsid w:val="002A59DF"/>
    <w:rsid w:val="002A67BF"/>
    <w:rsid w:val="002B1E5E"/>
    <w:rsid w:val="002B6F85"/>
    <w:rsid w:val="002D618D"/>
    <w:rsid w:val="002F03D6"/>
    <w:rsid w:val="003112C5"/>
    <w:rsid w:val="00322488"/>
    <w:rsid w:val="00334D96"/>
    <w:rsid w:val="003563A4"/>
    <w:rsid w:val="00367564"/>
    <w:rsid w:val="00373ED4"/>
    <w:rsid w:val="00383975"/>
    <w:rsid w:val="003A043C"/>
    <w:rsid w:val="003B0723"/>
    <w:rsid w:val="003B1C77"/>
    <w:rsid w:val="003C0F98"/>
    <w:rsid w:val="003C369A"/>
    <w:rsid w:val="003C7E2D"/>
    <w:rsid w:val="003D4303"/>
    <w:rsid w:val="003E36D0"/>
    <w:rsid w:val="003E420C"/>
    <w:rsid w:val="00401EE2"/>
    <w:rsid w:val="00406724"/>
    <w:rsid w:val="00406B9D"/>
    <w:rsid w:val="00420C7E"/>
    <w:rsid w:val="004218F5"/>
    <w:rsid w:val="004336B4"/>
    <w:rsid w:val="00433958"/>
    <w:rsid w:val="00444A98"/>
    <w:rsid w:val="00454AD9"/>
    <w:rsid w:val="00475484"/>
    <w:rsid w:val="004A0C7C"/>
    <w:rsid w:val="004A41CF"/>
    <w:rsid w:val="004E0DC0"/>
    <w:rsid w:val="004E605D"/>
    <w:rsid w:val="004E63C4"/>
    <w:rsid w:val="00511212"/>
    <w:rsid w:val="00555485"/>
    <w:rsid w:val="00575FC1"/>
    <w:rsid w:val="00583866"/>
    <w:rsid w:val="005918A5"/>
    <w:rsid w:val="005A41BB"/>
    <w:rsid w:val="005A7F8D"/>
    <w:rsid w:val="005B233D"/>
    <w:rsid w:val="005B2905"/>
    <w:rsid w:val="005C36CD"/>
    <w:rsid w:val="005C4B78"/>
    <w:rsid w:val="005C4F1C"/>
    <w:rsid w:val="005D31A6"/>
    <w:rsid w:val="005E58C7"/>
    <w:rsid w:val="005F7D6F"/>
    <w:rsid w:val="006056C6"/>
    <w:rsid w:val="00615E3B"/>
    <w:rsid w:val="006178E4"/>
    <w:rsid w:val="006311E4"/>
    <w:rsid w:val="00655DDA"/>
    <w:rsid w:val="00692478"/>
    <w:rsid w:val="006A4A0A"/>
    <w:rsid w:val="006B004C"/>
    <w:rsid w:val="006C0FD8"/>
    <w:rsid w:val="006D0087"/>
    <w:rsid w:val="006D61F8"/>
    <w:rsid w:val="006D78CA"/>
    <w:rsid w:val="006E1FB3"/>
    <w:rsid w:val="006E4AE9"/>
    <w:rsid w:val="006F3AAA"/>
    <w:rsid w:val="0071343B"/>
    <w:rsid w:val="00720994"/>
    <w:rsid w:val="00737B0A"/>
    <w:rsid w:val="00741865"/>
    <w:rsid w:val="0075508D"/>
    <w:rsid w:val="00761E6C"/>
    <w:rsid w:val="00783F41"/>
    <w:rsid w:val="00785967"/>
    <w:rsid w:val="007A6D76"/>
    <w:rsid w:val="007B10B2"/>
    <w:rsid w:val="007B2E4D"/>
    <w:rsid w:val="007B774D"/>
    <w:rsid w:val="007C3773"/>
    <w:rsid w:val="007E3B99"/>
    <w:rsid w:val="007F0079"/>
    <w:rsid w:val="007F0FC4"/>
    <w:rsid w:val="007F68C4"/>
    <w:rsid w:val="007F74D7"/>
    <w:rsid w:val="00810512"/>
    <w:rsid w:val="00814E13"/>
    <w:rsid w:val="00814EF3"/>
    <w:rsid w:val="008224B6"/>
    <w:rsid w:val="008319F4"/>
    <w:rsid w:val="00833949"/>
    <w:rsid w:val="00834DFA"/>
    <w:rsid w:val="00837FA5"/>
    <w:rsid w:val="00847E17"/>
    <w:rsid w:val="00861745"/>
    <w:rsid w:val="00866F5C"/>
    <w:rsid w:val="00876AAF"/>
    <w:rsid w:val="008B032F"/>
    <w:rsid w:val="008B1C2A"/>
    <w:rsid w:val="008B2EC3"/>
    <w:rsid w:val="008D3638"/>
    <w:rsid w:val="008D5CBC"/>
    <w:rsid w:val="00913B7D"/>
    <w:rsid w:val="009352AE"/>
    <w:rsid w:val="0094101A"/>
    <w:rsid w:val="00984506"/>
    <w:rsid w:val="00993739"/>
    <w:rsid w:val="0099562C"/>
    <w:rsid w:val="009A16C1"/>
    <w:rsid w:val="009A6E15"/>
    <w:rsid w:val="009B67BE"/>
    <w:rsid w:val="009F0B69"/>
    <w:rsid w:val="009F7D37"/>
    <w:rsid w:val="00A012E5"/>
    <w:rsid w:val="00A402C8"/>
    <w:rsid w:val="00A53FEB"/>
    <w:rsid w:val="00A80997"/>
    <w:rsid w:val="00A84676"/>
    <w:rsid w:val="00A911A9"/>
    <w:rsid w:val="00A91F95"/>
    <w:rsid w:val="00A928D2"/>
    <w:rsid w:val="00A96FE3"/>
    <w:rsid w:val="00AA77B1"/>
    <w:rsid w:val="00AB0937"/>
    <w:rsid w:val="00AB2BBC"/>
    <w:rsid w:val="00AE24D3"/>
    <w:rsid w:val="00AE4401"/>
    <w:rsid w:val="00B213A9"/>
    <w:rsid w:val="00B221E7"/>
    <w:rsid w:val="00B33062"/>
    <w:rsid w:val="00B33430"/>
    <w:rsid w:val="00B37612"/>
    <w:rsid w:val="00B544B2"/>
    <w:rsid w:val="00B57109"/>
    <w:rsid w:val="00B65DB1"/>
    <w:rsid w:val="00BB4B32"/>
    <w:rsid w:val="00BE061F"/>
    <w:rsid w:val="00BE3E20"/>
    <w:rsid w:val="00BF7AE7"/>
    <w:rsid w:val="00C21760"/>
    <w:rsid w:val="00C3552F"/>
    <w:rsid w:val="00C5746C"/>
    <w:rsid w:val="00C639CA"/>
    <w:rsid w:val="00C82639"/>
    <w:rsid w:val="00CA6B49"/>
    <w:rsid w:val="00CB717D"/>
    <w:rsid w:val="00CB7BAE"/>
    <w:rsid w:val="00CD034F"/>
    <w:rsid w:val="00CD7752"/>
    <w:rsid w:val="00CE0958"/>
    <w:rsid w:val="00CE5929"/>
    <w:rsid w:val="00CE6C40"/>
    <w:rsid w:val="00D144AF"/>
    <w:rsid w:val="00D46F0D"/>
    <w:rsid w:val="00DA0453"/>
    <w:rsid w:val="00DA085F"/>
    <w:rsid w:val="00DA3D38"/>
    <w:rsid w:val="00DA3DEA"/>
    <w:rsid w:val="00DA556C"/>
    <w:rsid w:val="00DB44C4"/>
    <w:rsid w:val="00DB7F22"/>
    <w:rsid w:val="00DC55CB"/>
    <w:rsid w:val="00DD66B3"/>
    <w:rsid w:val="00DE5160"/>
    <w:rsid w:val="00DE664B"/>
    <w:rsid w:val="00DF5986"/>
    <w:rsid w:val="00DF7D46"/>
    <w:rsid w:val="00E20D88"/>
    <w:rsid w:val="00E30D3A"/>
    <w:rsid w:val="00E52232"/>
    <w:rsid w:val="00E5664A"/>
    <w:rsid w:val="00E60C07"/>
    <w:rsid w:val="00E67837"/>
    <w:rsid w:val="00E83AE3"/>
    <w:rsid w:val="00E83E7B"/>
    <w:rsid w:val="00E86320"/>
    <w:rsid w:val="00EB3330"/>
    <w:rsid w:val="00EB3B52"/>
    <w:rsid w:val="00EC346E"/>
    <w:rsid w:val="00EC7166"/>
    <w:rsid w:val="00F224DC"/>
    <w:rsid w:val="00F40F26"/>
    <w:rsid w:val="00F42EDA"/>
    <w:rsid w:val="00F45402"/>
    <w:rsid w:val="00F55286"/>
    <w:rsid w:val="00F70D66"/>
    <w:rsid w:val="00F84BCE"/>
    <w:rsid w:val="00F85741"/>
    <w:rsid w:val="00F860A6"/>
    <w:rsid w:val="00F8719D"/>
    <w:rsid w:val="00F90F5A"/>
    <w:rsid w:val="00FA1EEE"/>
    <w:rsid w:val="00FC2093"/>
    <w:rsid w:val="00FD1B50"/>
    <w:rsid w:val="00FD45CE"/>
    <w:rsid w:val="00FE085F"/>
    <w:rsid w:val="00FE7B56"/>
    <w:rsid w:val="00FF53DC"/>
    <w:rsid w:val="00FF695E"/>
  </w:rsids>
  <m:mathPr>
    <m:mathFont m:val="Cambria Math"/>
    <m:brkBin m:val="before"/>
    <m:brkBinSub m:val="--"/>
    <m:smallFrac m:val="0"/>
    <m:dispDef/>
    <m:lMargin m:val="0"/>
    <m:rMargin m:val="0"/>
    <m:defJc m:val="centerGroup"/>
    <m:wrapIndent m:val="1440"/>
    <m:intLim m:val="subSup"/>
    <m:naryLim m:val="undOvr"/>
  </m:mathPr>
  <w:themeFontLang w:val="fr-B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32AF2E"/>
  <w15:docId w15:val="{C62EDA1B-4AF2-41C3-A7CD-6A8563F53A3B}"/>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958"/>
    <w:pPr>
      <w:spacing w:line="288" w:lineRule="auto"/>
      <w:jc w:val="both"/>
    </w:pPr>
    <w:rPr>
      <w:sz w:val="22"/>
      <w:szCs w:val="22"/>
      <w:lang w:eastAsia="en-US"/>
    </w:rPr>
  </w:style>
  <w:style w:type="paragraph" w:styleId="Heading1">
    <w:name w:val="heading 1"/>
    <w:basedOn w:val="Normal"/>
    <w:next w:val="Normal"/>
    <w:link w:val="Heading1Char"/>
    <w:qFormat/>
    <w:rsid w:val="00CE0958"/>
    <w:pPr>
      <w:numPr>
        <w:numId w:val="1"/>
      </w:numPr>
      <w:outlineLvl w:val="0"/>
    </w:pPr>
    <w:rPr>
      <w:kern w:val="28"/>
    </w:rPr>
  </w:style>
  <w:style w:type="paragraph" w:styleId="Heading2">
    <w:name w:val="heading 2"/>
    <w:basedOn w:val="Normal"/>
    <w:next w:val="Normal"/>
    <w:link w:val="Heading2Char"/>
    <w:qFormat/>
    <w:rsid w:val="00CE0958"/>
    <w:pPr>
      <w:numPr>
        <w:ilvl w:val="1"/>
        <w:numId w:val="1"/>
      </w:numPr>
      <w:outlineLvl w:val="1"/>
    </w:pPr>
  </w:style>
  <w:style w:type="paragraph" w:styleId="Heading3">
    <w:name w:val="heading 3"/>
    <w:basedOn w:val="Normal"/>
    <w:next w:val="Normal"/>
    <w:link w:val="Heading3Char"/>
    <w:qFormat/>
    <w:rsid w:val="00CE0958"/>
    <w:pPr>
      <w:numPr>
        <w:ilvl w:val="2"/>
        <w:numId w:val="1"/>
      </w:numPr>
      <w:outlineLvl w:val="2"/>
    </w:pPr>
  </w:style>
  <w:style w:type="paragraph" w:styleId="Heading4">
    <w:name w:val="heading 4"/>
    <w:basedOn w:val="Normal"/>
    <w:next w:val="Normal"/>
    <w:link w:val="Heading4Char"/>
    <w:qFormat/>
    <w:rsid w:val="00CE0958"/>
    <w:pPr>
      <w:numPr>
        <w:ilvl w:val="3"/>
        <w:numId w:val="1"/>
      </w:numPr>
      <w:outlineLvl w:val="3"/>
    </w:pPr>
  </w:style>
  <w:style w:type="paragraph" w:styleId="Heading5">
    <w:name w:val="heading 5"/>
    <w:basedOn w:val="Normal"/>
    <w:next w:val="Normal"/>
    <w:link w:val="Heading5Char"/>
    <w:qFormat/>
    <w:rsid w:val="00CE0958"/>
    <w:pPr>
      <w:numPr>
        <w:ilvl w:val="4"/>
        <w:numId w:val="1"/>
      </w:numPr>
      <w:outlineLvl w:val="4"/>
    </w:pPr>
  </w:style>
  <w:style w:type="paragraph" w:styleId="Heading6">
    <w:name w:val="heading 6"/>
    <w:basedOn w:val="Normal"/>
    <w:next w:val="Normal"/>
    <w:link w:val="Heading6Char"/>
    <w:qFormat/>
    <w:rsid w:val="00CE0958"/>
    <w:pPr>
      <w:numPr>
        <w:ilvl w:val="5"/>
        <w:numId w:val="1"/>
      </w:numPr>
      <w:outlineLvl w:val="5"/>
    </w:pPr>
  </w:style>
  <w:style w:type="paragraph" w:styleId="Heading7">
    <w:name w:val="heading 7"/>
    <w:basedOn w:val="Normal"/>
    <w:next w:val="Normal"/>
    <w:link w:val="Heading7Char"/>
    <w:qFormat/>
    <w:rsid w:val="00CE0958"/>
    <w:pPr>
      <w:numPr>
        <w:ilvl w:val="6"/>
        <w:numId w:val="1"/>
      </w:numPr>
      <w:outlineLvl w:val="6"/>
    </w:pPr>
  </w:style>
  <w:style w:type="paragraph" w:styleId="Heading8">
    <w:name w:val="heading 8"/>
    <w:basedOn w:val="Normal"/>
    <w:next w:val="Normal"/>
    <w:link w:val="Heading8Char"/>
    <w:qFormat/>
    <w:rsid w:val="00CE0958"/>
    <w:pPr>
      <w:numPr>
        <w:ilvl w:val="7"/>
        <w:numId w:val="1"/>
      </w:numPr>
      <w:outlineLvl w:val="7"/>
    </w:pPr>
  </w:style>
  <w:style w:type="paragraph" w:styleId="Heading9">
    <w:name w:val="heading 9"/>
    <w:basedOn w:val="Normal"/>
    <w:next w:val="Normal"/>
    <w:link w:val="Heading9Char"/>
    <w:qFormat/>
    <w:rsid w:val="00CE0958"/>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lv-LV" w:eastAsia="en-US"/>
    </w:rPr>
  </w:style>
  <w:style w:type="character" w:customStyle="1" w:styleId="Heading2Char">
    <w:name w:val="Heading 2 Char"/>
    <w:basedOn w:val="DefaultParagraphFont"/>
    <w:link w:val="Heading2"/>
    <w:rsid w:val="009D66A8"/>
    <w:rPr>
      <w:sz w:val="22"/>
      <w:szCs w:val="22"/>
      <w:lang w:val="lv-LV" w:eastAsia="en-US"/>
    </w:rPr>
  </w:style>
  <w:style w:type="character" w:customStyle="1" w:styleId="Heading3Char">
    <w:name w:val="Heading 3 Char"/>
    <w:basedOn w:val="DefaultParagraphFont"/>
    <w:link w:val="Heading3"/>
    <w:rsid w:val="009D66A8"/>
    <w:rPr>
      <w:sz w:val="22"/>
      <w:szCs w:val="22"/>
      <w:lang w:val="lv-LV" w:eastAsia="en-US"/>
    </w:rPr>
  </w:style>
  <w:style w:type="character" w:customStyle="1" w:styleId="Heading4Char">
    <w:name w:val="Heading 4 Char"/>
    <w:basedOn w:val="DefaultParagraphFont"/>
    <w:link w:val="Heading4"/>
    <w:rsid w:val="009D66A8"/>
    <w:rPr>
      <w:sz w:val="22"/>
      <w:szCs w:val="22"/>
      <w:lang w:val="lv-LV" w:eastAsia="en-US"/>
    </w:rPr>
  </w:style>
  <w:style w:type="character" w:customStyle="1" w:styleId="Heading5Char">
    <w:name w:val="Heading 5 Char"/>
    <w:basedOn w:val="DefaultParagraphFont"/>
    <w:link w:val="Heading5"/>
    <w:rsid w:val="009D66A8"/>
    <w:rPr>
      <w:sz w:val="22"/>
      <w:szCs w:val="22"/>
      <w:lang w:val="lv-LV" w:eastAsia="en-US"/>
    </w:rPr>
  </w:style>
  <w:style w:type="character" w:customStyle="1" w:styleId="Heading6Char">
    <w:name w:val="Heading 6 Char"/>
    <w:basedOn w:val="DefaultParagraphFont"/>
    <w:link w:val="Heading6"/>
    <w:rsid w:val="009D66A8"/>
    <w:rPr>
      <w:sz w:val="22"/>
      <w:szCs w:val="22"/>
      <w:lang w:val="lv-LV" w:eastAsia="en-US"/>
    </w:rPr>
  </w:style>
  <w:style w:type="character" w:customStyle="1" w:styleId="Heading7Char">
    <w:name w:val="Heading 7 Char"/>
    <w:basedOn w:val="DefaultParagraphFont"/>
    <w:link w:val="Heading7"/>
    <w:rsid w:val="009D66A8"/>
    <w:rPr>
      <w:sz w:val="22"/>
      <w:szCs w:val="22"/>
      <w:lang w:val="lv-LV" w:eastAsia="en-US"/>
    </w:rPr>
  </w:style>
  <w:style w:type="character" w:customStyle="1" w:styleId="Heading8Char">
    <w:name w:val="Heading 8 Char"/>
    <w:basedOn w:val="DefaultParagraphFont"/>
    <w:link w:val="Heading8"/>
    <w:rsid w:val="009D66A8"/>
    <w:rPr>
      <w:sz w:val="22"/>
      <w:szCs w:val="22"/>
      <w:lang w:val="lv-LV" w:eastAsia="en-US"/>
    </w:rPr>
  </w:style>
  <w:style w:type="character" w:customStyle="1" w:styleId="Heading9Char">
    <w:name w:val="Heading 9 Char"/>
    <w:basedOn w:val="DefaultParagraphFont"/>
    <w:link w:val="Heading9"/>
    <w:rsid w:val="009D66A8"/>
    <w:rPr>
      <w:sz w:val="22"/>
      <w:szCs w:val="22"/>
      <w:lang w:val="lv-LV" w:eastAsia="en-US"/>
    </w:rPr>
  </w:style>
  <w:style w:type="paragraph" w:styleId="Footer">
    <w:name w:val="footer"/>
    <w:basedOn w:val="Normal"/>
    <w:link w:val="FooterChar"/>
    <w:qFormat/>
    <w:rsid w:val="00CE0958"/>
  </w:style>
  <w:style w:type="character" w:customStyle="1" w:styleId="FooterChar">
    <w:name w:val="Footer Char"/>
    <w:basedOn w:val="DefaultParagraphFont"/>
    <w:link w:val="Footer"/>
    <w:rsid w:val="009D66A8"/>
    <w:rPr>
      <w:sz w:val="22"/>
      <w:szCs w:val="22"/>
      <w:lang w:val="lv-LV" w:eastAsia="en-US"/>
    </w:rPr>
  </w:style>
  <w:style w:type="paragraph" w:styleId="FootnoteText">
    <w:name w:val="footnote text"/>
    <w:basedOn w:val="Normal"/>
    <w:link w:val="FootnoteTextChar"/>
    <w:qFormat/>
    <w:rsid w:val="00CE0958"/>
    <w:pPr>
      <w:keepLines/>
      <w:spacing w:after="60" w:line="240" w:lineRule="auto"/>
      <w:ind w:left="567" w:hanging="567"/>
    </w:pPr>
    <w:rPr>
      <w:sz w:val="16"/>
    </w:rPr>
  </w:style>
  <w:style w:type="character" w:customStyle="1" w:styleId="FootnoteTextChar">
    <w:name w:val="Footnote Text Char"/>
    <w:basedOn w:val="DefaultParagraphFont"/>
    <w:link w:val="FootnoteText"/>
    <w:rsid w:val="009D66A8"/>
    <w:rPr>
      <w:sz w:val="16"/>
      <w:szCs w:val="22"/>
      <w:lang w:val="lv-LV" w:eastAsia="en-US"/>
    </w:rPr>
  </w:style>
  <w:style w:type="paragraph" w:styleId="Header">
    <w:name w:val="header"/>
    <w:basedOn w:val="Normal"/>
    <w:link w:val="HeaderChar"/>
    <w:qFormat/>
    <w:rsid w:val="00CE0958"/>
  </w:style>
  <w:style w:type="character" w:customStyle="1" w:styleId="HeaderChar">
    <w:name w:val="Header Char"/>
    <w:basedOn w:val="DefaultParagraphFont"/>
    <w:link w:val="Header"/>
    <w:rsid w:val="009D66A8"/>
    <w:rPr>
      <w:sz w:val="22"/>
      <w:szCs w:val="22"/>
      <w:lang w:val="lv-LV" w:eastAsia="en-US"/>
    </w:rPr>
  </w:style>
  <w:style w:type="paragraph" w:customStyle="1" w:styleId="quotes">
    <w:name w:val="quotes"/>
    <w:basedOn w:val="Normal"/>
    <w:next w:val="Normal"/>
    <w:rsid w:val="00CE0958"/>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CE0958"/>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BalloonText">
    <w:name w:val="Balloon Text"/>
    <w:basedOn w:val="Normal"/>
    <w:link w:val="BalloonTextChar"/>
    <w:semiHidden/>
    <w:unhideWhenUsed/>
    <w:rsid w:val="00B221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21E7"/>
    <w:rPr>
      <w:rFonts w:ascii="Segoe UI" w:hAnsi="Segoe UI" w:cs="Segoe UI"/>
      <w:sz w:val="18"/>
      <w:szCs w:val="18"/>
      <w:lang w:val="lv-LV" w:eastAsia="en-US"/>
    </w:rPr>
  </w:style>
  <w:style w:type="character" w:styleId="CommentReference">
    <w:name w:val="annotation reference"/>
    <w:basedOn w:val="DefaultParagraphFont"/>
    <w:semiHidden/>
    <w:unhideWhenUsed/>
    <w:rsid w:val="00B221E7"/>
    <w:rPr>
      <w:sz w:val="16"/>
      <w:szCs w:val="16"/>
    </w:rPr>
  </w:style>
  <w:style w:type="paragraph" w:styleId="CommentText">
    <w:name w:val="annotation text"/>
    <w:basedOn w:val="Normal"/>
    <w:link w:val="CommentTextChar"/>
    <w:semiHidden/>
    <w:unhideWhenUsed/>
    <w:rsid w:val="00B221E7"/>
    <w:pPr>
      <w:spacing w:line="240" w:lineRule="auto"/>
    </w:pPr>
    <w:rPr>
      <w:sz w:val="20"/>
      <w:szCs w:val="20"/>
    </w:rPr>
  </w:style>
  <w:style w:type="character" w:customStyle="1" w:styleId="CommentTextChar">
    <w:name w:val="Comment Text Char"/>
    <w:basedOn w:val="DefaultParagraphFont"/>
    <w:link w:val="CommentText"/>
    <w:semiHidden/>
    <w:rsid w:val="00B221E7"/>
    <w:rPr>
      <w:lang w:val="lv-LV" w:eastAsia="en-US"/>
    </w:rPr>
  </w:style>
  <w:style w:type="paragraph" w:styleId="CommentSubject">
    <w:name w:val="annotation subject"/>
    <w:basedOn w:val="CommentText"/>
    <w:next w:val="CommentText"/>
    <w:link w:val="CommentSubjectChar"/>
    <w:semiHidden/>
    <w:unhideWhenUsed/>
    <w:rsid w:val="00B221E7"/>
    <w:rPr>
      <w:b/>
      <w:bCs/>
    </w:rPr>
  </w:style>
  <w:style w:type="character" w:customStyle="1" w:styleId="CommentSubjectChar">
    <w:name w:val="Comment Subject Char"/>
    <w:basedOn w:val="CommentTextChar"/>
    <w:link w:val="CommentSubject"/>
    <w:semiHidden/>
    <w:rsid w:val="00B221E7"/>
    <w:rPr>
      <w:b/>
      <w:bCs/>
      <w:lang w:val="lv-LV" w:eastAsia="en-US"/>
    </w:rPr>
  </w:style>
  <w:style w:type="table" w:styleId="TableGrid">
    <w:name w:val="Table Grid"/>
    <w:basedOn w:val="TableNormal"/>
    <w:uiPriority w:val="39"/>
    <w:rsid w:val="00B22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rsid w:val="006D61F8"/>
    <w:pPr>
      <w:pBdr>
        <w:top w:val="nil"/>
        <w:left w:val="nil"/>
        <w:bottom w:val="nil"/>
        <w:right w:val="nil"/>
        <w:between w:val="nil"/>
        <w:bar w:val="nil"/>
      </w:pBdr>
      <w:spacing w:line="288" w:lineRule="auto"/>
      <w:jc w:val="both"/>
    </w:pPr>
    <w:rPr>
      <w:color w:val="000000"/>
      <w:sz w:val="22"/>
      <w:szCs w:val="22"/>
      <w:u w:color="000000"/>
      <w:bdr w:val="nil"/>
      <w:lang w:eastAsia="en-GB"/>
    </w:rPr>
  </w:style>
  <w:style w:type="paragraph" w:styleId="ListParagraph">
    <w:name w:val="List Paragraph"/>
    <w:basedOn w:val="Normal"/>
    <w:uiPriority w:val="34"/>
    <w:qFormat/>
    <w:rsid w:val="00605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39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ustomXml" Target="../customXml/item4.xml"/><Relationship Id="rId16" Type="http://schemas.openxmlformats.org/officeDocument/2006/relationships/footer" Target="footer2.xml"/><Relationship Id="rId20" Type="http://schemas.openxmlformats.org/officeDocument/2006/relationships/fontTable" Target="fontTable.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endnotes" Target="endnotes.xml"/><Relationship Id="rId19" Type="http://schemas.openxmlformats.org/officeDocument/2006/relationships/footer" Target="footer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0B8126D8DB4058449AFEEA4648410E79" ma:contentTypeVersion="7" ma:contentTypeDescription="Defines the documents for Document Manager V2" ma:contentTypeScope="" ma:versionID="efb3186ae4f8f220474383373b2f3093">
  <xsd:schema xmlns:xsd="http://www.w3.org/2001/XMLSchema" xmlns:xs="http://www.w3.org/2001/XMLSchema" xmlns:p="http://schemas.microsoft.com/office/2006/metadata/properties" xmlns:ns2="857bdf61-ef81-4463-9c7c-83f2607ad7f5" xmlns:ns3="http://schemas.microsoft.com/sharepoint/v3/fields" xmlns:ns4="9dd7a2b9-76b3-458f-a667-d2984d493257" targetNamespace="http://schemas.microsoft.com/office/2006/metadata/properties" ma:root="true" ma:fieldsID="2aec9a206946f4f17cf8aeb461fa7e1f" ns2:_="" ns3:_="" ns4:_="">
    <xsd:import namespace="857bdf61-ef81-4463-9c7c-83f2607ad7f5"/>
    <xsd:import namespace="http://schemas.microsoft.com/sharepoint/v3/fields"/>
    <xsd:import namespace="9dd7a2b9-76b3-458f-a667-d2984d49325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bdf61-ef81-4463-9c7c-83f2607ad7f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57b40324-ba81-467e-b318-8db2e7caf763}" ma:internalName="TaxCatchAll" ma:showField="CatchAllData"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57b40324-ba81-467e-b318-8db2e7caf763}" ma:internalName="TaxCatchAllLabel" ma:readOnly="true" ma:showField="CatchAllDataLabel"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d7a2b9-76b3-458f-a667-d2984d493257"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7bdf61-ef81-4463-9c7c-83f2607ad7f5">NVCDSECZW5MX-178431975-6070</_dlc_DocId>
    <_dlc_DocIdUrl xmlns="857bdf61-ef81-4463-9c7c-83f2607ad7f5">
      <Url>http://dm2016/cor/2019/_layouts/15/DocIdRedir.aspx?ID=NVCDSECZW5MX-178431975-6070</Url>
      <Description>NVCDSECZW5MX-178431975-6070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857bdf61-ef81-4463-9c7c-83f2607ad7f5"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857bdf61-ef81-4463-9c7c-83f2607ad7f5">2020-02-19T12:00:00+00:00</ProductionDate>
    <FicheYear xmlns="857bdf61-ef81-4463-9c7c-83f2607ad7f5">2019</FicheYear>
    <DocumentNumber xmlns="9dd7a2b9-76b3-458f-a667-d2984d493257">2727</DocumentNumber>
    <DocumentVersion xmlns="857bdf61-ef81-4463-9c7c-83f2607ad7f5">0</DocumentVersion>
    <DossierNumber xmlns="857bdf61-ef81-4463-9c7c-83f2607ad7f5">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57bdf61-ef81-4463-9c7c-83f2607ad7f5" xsi:nil="true"/>
    <TaxCatchAll xmlns="857bdf61-ef81-4463-9c7c-83f2607ad7f5">
      <Value>87</Value>
      <Value>98</Value>
      <Value>47</Value>
      <Value>40</Value>
      <Value>38</Value>
      <Value>37</Value>
      <Value>36</Value>
      <Value>35</Value>
      <Value>33</Value>
      <Value>32</Value>
      <Value>30</Value>
      <Value>29</Value>
      <Value>28</Value>
      <Value>27</Value>
      <Value>25</Value>
      <Value>24</Value>
      <Value>23</Value>
      <Value>22</Value>
      <Value>21</Value>
      <Value>20</Value>
      <Value>18</Value>
      <Value>17</Value>
      <Value>13</Value>
      <Value>10</Value>
      <Value>9</Value>
      <Value>7</Value>
      <Value>6</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s>
    </DocumentLanguage_0>
    <Rapporteur xmlns="857bdf61-ef81-4463-9c7c-83f2607ad7f5">HLINKA</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857bdf61-ef81-4463-9c7c-83f2607ad7f5">2019</DocumentYear>
    <FicheNumber xmlns="857bdf61-ef81-4463-9c7c-83f2607ad7f5">1561</FicheNumber>
    <DocumentPart xmlns="857bdf61-ef81-4463-9c7c-83f2607ad7f5">0</DocumentPart>
    <AdoptionDate xmlns="857bdf61-ef81-4463-9c7c-83f2607ad7f5">2020-02-12T12:00:00+00:00</AdoptionDate>
    <RequestingService xmlns="857bdf61-ef81-4463-9c7c-83f2607ad7f5">Affaires constitutionnelles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dd7a2b9-76b3-458f-a667-d2984d493257"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CIVEX-VI</TermName>
          <TermId xmlns="http://schemas.microsoft.com/office/infopath/2007/PartnerControls">e92fc6b6-a39d-4ec0-a9fe-54e321eead59</TermId>
        </TermInfo>
      </Terms>
    </DossierName_0>
    <OriginalSender xmlns="857bdf61-ef81-4463-9c7c-83f2607ad7f5">
      <UserInfo>
        <DisplayName/>
        <AccountId xsi:nil="true"/>
        <AccountType/>
      </UserInfo>
    </OriginalSender>
  </documentManagement>
</p:properties>
</file>

<file path=customXml/itemProps1.xml><?xml version="1.0" encoding="utf-8"?>
<ds:datastoreItem xmlns:ds="http://schemas.openxmlformats.org/officeDocument/2006/customXml" ds:itemID="{E1B5DB2B-4E6F-49FA-9EF8-6F19C8858BBC}"/>
</file>

<file path=customXml/itemProps2.xml><?xml version="1.0" encoding="utf-8"?>
<ds:datastoreItem xmlns:ds="http://schemas.openxmlformats.org/officeDocument/2006/customXml" ds:itemID="{AFFBA0F7-D241-433F-8679-B774629669F7}"/>
</file>

<file path=customXml/itemProps3.xml><?xml version="1.0" encoding="utf-8"?>
<ds:datastoreItem xmlns:ds="http://schemas.openxmlformats.org/officeDocument/2006/customXml" ds:itemID="{0B9330D4-FE84-4C39-B5AE-A89824B8378A}"/>
</file>

<file path=customXml/itemProps4.xml><?xml version="1.0" encoding="utf-8"?>
<ds:datastoreItem xmlns:ds="http://schemas.openxmlformats.org/officeDocument/2006/customXml" ds:itemID="{6C77E065-DB45-4EAA-8666-A896C346FB21}"/>
</file>

<file path=docProps/app.xml><?xml version="1.0" encoding="utf-8"?>
<Properties xmlns="http://schemas.openxmlformats.org/officeDocument/2006/extended-properties" xmlns:vt="http://schemas.openxmlformats.org/officeDocument/2006/docPropsVTypes">
  <Template>Styles.dotm</Template>
  <TotalTime>6</TotalTime>
  <Pages>10</Pages>
  <Words>3443</Words>
  <Characters>19626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Enlargement package 2019</vt:lpstr>
    </vt:vector>
  </TitlesOfParts>
  <Company>CESE-CdR</Company>
  <LinksUpToDate>false</LinksUpToDate>
  <CharactersWithSpaces>23023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Paplašināšanās tiesību aktu kopums 2019.gadā</dc:title>
  <dc:creator>Emma Nieddu</dc:creator>
  <cp:keywords>COR-2019-02727-00-00-AC-TRA-EN</cp:keywords>
  <dc:description>Rapporteur: HLINKA - Original language: EN - Date of document: 19/02/2020 - Date of meeting:  - External documents: COM(2019)260 - Administrator:  GONTSAROVA-PARVULESCU Darja</dc:description>
  <cp:lastModifiedBy>Jolanta Erlate</cp:lastModifiedBy>
  <cp:revision>8</cp:revision>
  <cp:lastPrinted>2019-10-18T07:23:00Z</cp:lastPrinted>
  <dcterms:created xsi:type="dcterms:W3CDTF">2020-02-14T13:08:00Z</dcterms:created>
  <dcterms:modified xsi:type="dcterms:W3CDTF">2020-02-19T15:32:00Z</dcterms:modified>
  <cp:category>CIVEX-VI/42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14/02/2020, 14/02/2020, 18/12/2019, 21/11/2019, 21/11/2019, 18/10/2019, 18/10/2019</vt:lpwstr>
  </property>
  <property fmtid="{D5CDD505-2E9C-101B-9397-08002B2CF9AE}" pid="4" name="Pref_Time">
    <vt:lpwstr>13:51:24, 12:40:12, 09:34:28, 13:09:59, 13:04:01, 11:55:54, 11:48:39</vt:lpwstr>
  </property>
  <property fmtid="{D5CDD505-2E9C-101B-9397-08002B2CF9AE}" pid="5" name="Pref_User">
    <vt:lpwstr>mkop, ssex, hnic, mkop, htoo, amett, htoo</vt:lpwstr>
  </property>
  <property fmtid="{D5CDD505-2E9C-101B-9397-08002B2CF9AE}" pid="6" name="Pref_FileName">
    <vt:lpwstr>COR-2019-02727-00-00-AC-TRA-EN-CRR.docx, COR-2019-02727-00-00-AC-CRR-EN.docx, COR-2019-02727-00-01-PAC-ORI.docx, COR-2019-02727-00-00-PAC-TRA-EN-CRR.docx, COR-2019-02727-00-00-PAC-CRR-EN.docx, COR-2019-02727-00-00-PA-TRA-EN-CRR.docx, COR-2019-02727-00-00-</vt:lpwstr>
  </property>
  <property fmtid="{D5CDD505-2E9C-101B-9397-08002B2CF9AE}" pid="7" name="ContentTypeId">
    <vt:lpwstr>0x010100EA97B91038054C99906057A708A1480A000B8126D8DB4058449AFEEA4648410E79</vt:lpwstr>
  </property>
  <property fmtid="{D5CDD505-2E9C-101B-9397-08002B2CF9AE}" pid="8" name="_dlc_DocIdItemGuid">
    <vt:lpwstr>8dec8d44-f3f7-4c18-9448-030df7768604</vt:lpwstr>
  </property>
  <property fmtid="{D5CDD505-2E9C-101B-9397-08002B2CF9AE}" pid="9" name="AvailableTranslations">
    <vt:lpwstr>24;#LV|46f7e311-5d9f-4663-b433-18aeccb7ace7;#37;#MT|7df99101-6854-4a26-b53a-b88c0da02c26;#23;#FI|87606a43-d45f-42d6-b8c9-e1a3457db5b7;#21;#RO|feb747a2-64cd-4299-af12-4833ddc30497;#29;#DE|f6b31e5a-26fa-4935-b661-318e46daf27e;#17;#SV|c2ed69e7-a339-43d7-8f22-d93680a92aa0;#36;#PT|50ccc04a-eadd-42ae-a0cb-acaf45f812ba;#30;#HR|2f555653-ed1a-4fe6-8362-9082d95989e5;#13;#ES|e7a6b05b-ae16-40c8-add9-68b64b03aeba;#25;#DA|5d49c027-8956-412b-aa16-e85a0f96ad0e;#32;#LT|a7ff5ce7-6123-4f68-865a-a57c31810414;#7;#FR|d2afafd3-4c81-4f60-8f52-ee33f2f54ff3;#20;#EL|6d4f4d51-af9b-4650-94b4-4276bee85c91;#18;#PL|1e03da61-4678-4e07-b136-b5024ca9197b;#38;#ET|ff6c3f4c-b02c-4c3c-ab07-2c37995a7a0a;#33;#SK|46d9fce0-ef79-4f71-b89b-cd6aa82426b8;#22;#NL|55c6556c-b4f4-441d-9acf-c498d4f838bd;#40;#HU|6b229040-c589-4408-b4c1-4285663d20a8;#9;#EN|f2175f21-25d7-44a3-96da-d6a61b075e1b;#27;#SL|98a412ae-eb01-49e9-ae3d-585a81724cfc;#35;#BG|1a1b3951-7821-4e6a-85f5-5673fc08bd2c;#28;#CS|72f9705b-0217-4fd3-bea2-cbc7ed80e26e;#47;#GA|762d2456-c427-4ecb-b312-af3dad8e258c;#4;#IT|0774613c-01ed-4e5d-a25d-11d2388de825</vt:lpwstr>
  </property>
  <property fmtid="{D5CDD505-2E9C-101B-9397-08002B2CF9AE}" pid="10" name="DocumentType_0">
    <vt:lpwstr>AC|a4cc1d15-fb08-4679-ad46-e4e0cba5fe92</vt:lpwstr>
  </property>
  <property fmtid="{D5CDD505-2E9C-101B-9397-08002B2CF9AE}" pid="11" name="DossierName_0">
    <vt:lpwstr>CIVEX-VI|e92fc6b6-a39d-4ec0-a9fe-54e321eead59</vt:lpwstr>
  </property>
  <property fmtid="{D5CDD505-2E9C-101B-9397-08002B2CF9AE}" pid="12" name="DocumentSource_0">
    <vt:lpwstr>CoR|cb2d75ef-4a7d-4393-b797-49ed6298a5ea</vt:lpwstr>
  </property>
  <property fmtid="{D5CDD505-2E9C-101B-9397-08002B2CF9AE}" pid="13" name="DocumentNumber">
    <vt:i4>2727</vt:i4>
  </property>
  <property fmtid="{D5CDD505-2E9C-101B-9397-08002B2CF9AE}" pid="14" name="FicheYear">
    <vt:i4>2019</vt:i4>
  </property>
  <property fmtid="{D5CDD505-2E9C-101B-9397-08002B2CF9AE}" pid="15" name="DocumentVersion">
    <vt:i4>0</vt:i4>
  </property>
  <property fmtid="{D5CDD505-2E9C-101B-9397-08002B2CF9AE}" pid="16" name="DossierNumber">
    <vt:i4>42</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87;#CIVEX-VI|e92fc6b6-a39d-4ec0-a9fe-54e321eead59</vt:lpwstr>
  </property>
  <property fmtid="{D5CDD505-2E9C-101B-9397-08002B2CF9AE}" pid="20" name="DocumentSource">
    <vt:lpwstr>1;#CoR|cb2d75ef-4a7d-4393-b797-49ed6298a5ea</vt:lpwstr>
  </property>
  <property fmtid="{D5CDD505-2E9C-101B-9397-08002B2CF9AE}" pid="21" name="AdoptionDate">
    <vt:filetime>2020-02-12T12:00:00Z</vt:filetime>
  </property>
  <property fmtid="{D5CDD505-2E9C-101B-9397-08002B2CF9AE}" pid="22" name="DocumentType">
    <vt:lpwstr>98;#AC|a4cc1d15-fb08-4679-ad46-e4e0cba5fe92</vt:lpwstr>
  </property>
  <property fmtid="{D5CDD505-2E9C-101B-9397-08002B2CF9AE}" pid="23" name="RequestingService">
    <vt:lpwstr>Affaires constitutionnelles</vt:lpwstr>
  </property>
  <property fmtid="{D5CDD505-2E9C-101B-9397-08002B2CF9AE}" pid="24" name="Confidentiality">
    <vt:lpwstr>10;#Unrestricted|826e22d7-d029-4ec0-a450-0c28ff673572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MT|7df99101-6854-4a26-b53a-b88c0da02c26;FI|87606a43-d45f-42d6-b8c9-e1a3457db5b7;DE|f6b31e5a-26fa-4935-b661-318e46daf27e;SV|c2ed69e7-a339-43d7-8f22-d93680a92aa0;PT|50ccc04a-eadd-42ae-a0cb-acaf45f812ba;ES|e7a6b05b-ae16-40c8-add9-68b64b03aeba;DA|5d49c027-8956-412b-aa16-e85a0f96ad0e;LT|a7ff5ce7-6123-4f68-865a-a57c31810414;FR|d2afafd3-4c81-4f60-8f52-ee33f2f54ff3;EL|6d4f4d51-af9b-4650-94b4-4276bee85c91;PL|1e03da61-4678-4e07-b136-b5024ca9197b;ET|ff6c3f4c-b02c-4c3c-ab07-2c37995a7a0a;SK|46d9fce0-ef79-4f71-b89b-cd6aa82426b8;NL|55c6556c-b4f4-441d-9acf-c498d4f838bd;HU|6b229040-c589-4408-b4c1-4285663d20a8;EN|f2175f21-25d7-44a3-96da-d6a61b075e1b;SL|98a412ae-eb01-49e9-ae3d-585a81724cfc;BG|1a1b3951-7821-4e6a-85f5-5673fc08bd2c;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PT|50ccc04a-eadd-42ae-a0cb-acaf45f812ba;#35;#BG|1a1b3951-7821-4e6a-85f5-5673fc08bd2c;#38;#ET|ff6c3f4c-b02c-4c3c-ab07-2c37995a7a0a;#32;#LT|a7ff5ce7-6123-4f68-865a-a57c31810414;#13;#ES|e7a6b05b-ae16-40c8-add9-68b64b03aeba;#29;#DE|f6b31e5a-26fa-4935-b661-318e46daf27e;#28;#CS|72f9705b-0217-4fd3-bea2-cbc7ed80e26e;#27;#SL|98a412ae-eb01-49e9-ae3d-585a81724cfc;#25;#DA|5d49c027-8956-412b-aa16-e85a0f96ad0e;#98;#AC|a4cc1d15-fb08-4679-ad46-e4e0cba5fe92;#23;#FI|87606a43-d45f-42d6-b8c9-e1a3457db5b7;#22;#NL|55c6556c-b4f4-441d-9acf-c498d4f838bd;#20;#EL|6d4f4d51-af9b-4650-94b4-4276bee85c91;#18;#PL|1e03da61-4678-4e07-b136-b5024ca9197b;#17;#SV|c2ed69e7-a339-43d7-8f22-d93680a92aa0;#87;#CIVEX-VI|e92fc6b6-a39d-4ec0-a9fe-54e321eead59;#40;#HU|6b229040-c589-4408-b4c1-4285663d20a8;#10;#Unrestricted|826e22d7-d029-4ec0-a450-0c28ff673572;#9;#EN|f2175f21-25d7-44a3-96da-d6a61b075e1b;#7;#FR|d2afafd3-4c81-4f60-8f52-ee33f2f54ff3;#6;#Final|ea5e6674-7b27-4bac-b091-73adbb394efe;#33;#SK|46d9fce0-ef79-4f71-b89b-cd6aa82426b8;#2;#TRA|150d2a88-1431-44e6-a8ca-0bb753ab8672;#1;#CoR|cb2d75ef-4a7d-4393-b797-49ed6298a5ea;#37;#MT|7df99101-6854-4a26-b53a-b88c0da02c26</vt:lpwstr>
  </property>
  <property fmtid="{D5CDD505-2E9C-101B-9397-08002B2CF9AE}" pid="34" name="Rapporteur">
    <vt:lpwstr>HLINKA</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2019</vt:i4>
  </property>
  <property fmtid="{D5CDD505-2E9C-101B-9397-08002B2CF9AE}" pid="38" name="FicheNumber">
    <vt:i4>1561</vt:i4>
  </property>
  <property fmtid="{D5CDD505-2E9C-101B-9397-08002B2CF9AE}" pid="39" name="DocumentLanguage">
    <vt:lpwstr>24;#LV|46f7e311-5d9f-4663-b433-18aeccb7ace7</vt:lpwstr>
  </property>
</Properties>
</file>