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9" w:type="dxa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183B81" w:rsidRPr="009D265B" w14:paraId="6E143ABD" w14:textId="77777777">
        <w:trPr>
          <w:cantSplit/>
        </w:trPr>
        <w:tc>
          <w:tcPr>
            <w:tcW w:w="4644" w:type="dxa"/>
          </w:tcPr>
          <w:p w14:paraId="567CE6C2" w14:textId="11D486D0" w:rsidR="000D6A84" w:rsidRPr="009D265B" w:rsidRDefault="00F860A6" w:rsidP="00833949">
            <w:r w:rsidRPr="009D265B">
              <w:rPr>
                <w:lang w:eastAsia="fr-BE"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0" allowOverlap="1" wp14:anchorId="7CAE2654" wp14:editId="4001605F">
                      <wp:simplePos x="0" y="0"/>
                      <wp:positionH relativeFrom="page">
                        <wp:posOffset>6769100</wp:posOffset>
                      </wp:positionH>
                      <wp:positionV relativeFrom="page">
                        <wp:posOffset>10081260</wp:posOffset>
                      </wp:positionV>
                      <wp:extent cx="647700" cy="396240"/>
                      <wp:effectExtent l="0" t="0" r="0" b="3810"/>
                      <wp:wrapNone/>
                      <wp:docPr id="2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D9ABD9B" w14:textId="77777777" w:rsidR="00444A98" w:rsidRPr="009D265B" w:rsidRDefault="00444A9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</w:rPr>
                                  </w:pPr>
                                  <w:r w:rsidRPr="009D265B">
                                    <w:rPr>
                                      <w:rFonts w:ascii="Arial" w:hAnsi="Arial"/>
                                      <w:b/>
                                      <w:bCs/>
                                      <w:sz w:val="48"/>
                                    </w:rPr>
                                    <w:t>PL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AE265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left:0;text-align:left;margin-left:533pt;margin-top:793.8pt;width:51pt;height:31.2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reQtQIAALg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" o:allowincell="f" filled="f" stroked="f">
                      <v:textbox>
                        <w:txbxContent>
                          <w:p w14:paraId="6D9ABD9B" w14:textId="77777777" w:rsidR="00444A98" w:rsidRPr="009D265B" w:rsidRDefault="00444A9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</w:rPr>
                            </w:pPr>
                            <w:r w:rsidRPr="009D265B">
                              <w:rPr>
                                <w:rFonts w:ascii="Arial" w:hAnsi="Arial"/>
                                <w:b/>
                                <w:bCs/>
                                <w:sz w:val="48"/>
                              </w:rPr>
                              <w:t>PL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CC0562" w:rsidRPr="009D265B">
              <w:rPr>
                <w:lang w:eastAsia="fr-BE"/>
              </w:rPr>
              <w:drawing>
                <wp:inline distT="0" distB="0" distL="0" distR="0" wp14:anchorId="74D80FBD" wp14:editId="0DB75723">
                  <wp:extent cx="1799590" cy="1558925"/>
                  <wp:effectExtent l="0" t="0" r="0" b="3175"/>
                  <wp:docPr id="1" name="Picture 1" title="CoRLogo_PL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55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5" w:type="dxa"/>
          </w:tcPr>
          <w:p w14:paraId="10AD9405" w14:textId="77777777" w:rsidR="000D6A84" w:rsidRPr="009D265B" w:rsidRDefault="000D6A84" w:rsidP="00833949"/>
        </w:tc>
      </w:tr>
      <w:tr w:rsidR="00183B81" w:rsidRPr="009D265B" w14:paraId="39225CBB" w14:textId="77777777">
        <w:trPr>
          <w:cantSplit/>
        </w:trPr>
        <w:tc>
          <w:tcPr>
            <w:tcW w:w="9289" w:type="dxa"/>
            <w:gridSpan w:val="2"/>
          </w:tcPr>
          <w:p w14:paraId="191E43F9" w14:textId="77777777" w:rsidR="004218F5" w:rsidRPr="009D265B" w:rsidRDefault="004218F5" w:rsidP="009D265B">
            <w:pPr>
              <w:jc w:val="right"/>
              <w:rPr>
                <w:b/>
                <w:bCs/>
                <w:sz w:val="28"/>
              </w:rPr>
            </w:pPr>
            <w:r w:rsidRPr="009D265B">
              <w:rPr>
                <w:b/>
                <w:sz w:val="28"/>
              </w:rPr>
              <w:t xml:space="preserve">CIVEX-VI/042 </w:t>
            </w:r>
          </w:p>
        </w:tc>
      </w:tr>
      <w:tr w:rsidR="00183B81" w:rsidRPr="009D265B" w14:paraId="68DB52E6" w14:textId="77777777">
        <w:tc>
          <w:tcPr>
            <w:tcW w:w="9289" w:type="dxa"/>
            <w:gridSpan w:val="2"/>
          </w:tcPr>
          <w:p w14:paraId="764C5164" w14:textId="77777777" w:rsidR="004218F5" w:rsidRPr="009D265B" w:rsidRDefault="00B221E7" w:rsidP="0004792D">
            <w:pPr>
              <w:jc w:val="center"/>
              <w:rPr>
                <w:b/>
                <w:bCs/>
                <w:sz w:val="28"/>
              </w:rPr>
            </w:pPr>
            <w:r w:rsidRPr="009D265B">
              <w:rPr>
                <w:b/>
                <w:sz w:val="28"/>
              </w:rPr>
              <w:t>138. sesja plenarna w dniach 11–12 lutego 2020 r.</w:t>
            </w:r>
          </w:p>
        </w:tc>
      </w:tr>
    </w:tbl>
    <w:p w14:paraId="746DC58B" w14:textId="2AD80601" w:rsidR="00444A98" w:rsidRPr="009D265B" w:rsidRDefault="00444A98"/>
    <w:p w14:paraId="324057EA" w14:textId="510C2DEA" w:rsidR="001B33A4" w:rsidRPr="009D265B" w:rsidRDefault="00444A98">
      <w:pPr>
        <w:jc w:val="center"/>
        <w:rPr>
          <w:b/>
          <w:bCs/>
          <w:sz w:val="28"/>
        </w:rPr>
      </w:pPr>
      <w:r w:rsidRPr="009D265B">
        <w:rPr>
          <w:b/>
          <w:bCs/>
          <w:sz w:val="28"/>
        </w:rPr>
        <w:t>OPINIA</w:t>
      </w:r>
    </w:p>
    <w:p w14:paraId="69796D91" w14:textId="77777777" w:rsidR="004218F5" w:rsidRPr="009D265B" w:rsidRDefault="004218F5" w:rsidP="001B0588"/>
    <w:p w14:paraId="726D5167" w14:textId="77777777" w:rsidR="004218F5" w:rsidRPr="009D265B" w:rsidRDefault="004218F5">
      <w:pPr>
        <w:jc w:val="center"/>
        <w:rPr>
          <w:sz w:val="28"/>
        </w:rPr>
      </w:pPr>
      <w:r w:rsidRPr="009D265B">
        <w:rPr>
          <w:b/>
          <w:sz w:val="28"/>
        </w:rPr>
        <w:t>Pakiet „rozszerzenie” na 2019 r.</w:t>
      </w:r>
    </w:p>
    <w:p w14:paraId="601F0AB6" w14:textId="769C4708" w:rsidR="0009583E" w:rsidRPr="009D265B" w:rsidRDefault="0009583E" w:rsidP="0009583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3"/>
      </w:tblGrid>
      <w:tr w:rsidR="0009583E" w:rsidRPr="001E11A7" w14:paraId="163C4620" w14:textId="77777777" w:rsidTr="00281B96">
        <w:tc>
          <w:tcPr>
            <w:tcW w:w="9063" w:type="dxa"/>
          </w:tcPr>
          <w:p w14:paraId="21EAD5E4" w14:textId="77777777" w:rsidR="0009583E" w:rsidRPr="001E11A7" w:rsidRDefault="0009583E" w:rsidP="001E11A7">
            <w:pPr>
              <w:overflowPunct w:val="0"/>
              <w:autoSpaceDE w:val="0"/>
              <w:autoSpaceDN w:val="0"/>
              <w:spacing w:line="240" w:lineRule="auto"/>
              <w:ind w:left="426" w:hanging="426"/>
              <w:textAlignment w:val="baseline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EUROPEJSKI KOMITET REGIONÓW</w:t>
            </w:r>
          </w:p>
          <w:p w14:paraId="491C4346" w14:textId="77777777" w:rsidR="0009583E" w:rsidRPr="001E11A7" w:rsidRDefault="0009583E" w:rsidP="001E11A7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Popiera stanowisko Komisji Europejskiej, zgodnie z którym rozszerzenie stanowi geostrategiczną inwestycję w pokój, stabilność, bezpieczeństwo i wzrost gospodarczy w całej Europie.</w:t>
            </w:r>
          </w:p>
          <w:p w14:paraId="5C4DBE27" w14:textId="77777777" w:rsidR="0009583E" w:rsidRPr="001E11A7" w:rsidRDefault="0009583E" w:rsidP="001E11A7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Podkreśla, że europejskie zasady pomocniczości, proporcjonalności i wielopoziomowego sprawowania rządów powinny mieć również zastosowanie do procesu rozszerzenia UE.</w:t>
            </w:r>
          </w:p>
          <w:p w14:paraId="2D84C353" w14:textId="15EA8D41" w:rsidR="0009583E" w:rsidRPr="001E11A7" w:rsidRDefault="0009583E" w:rsidP="001E11A7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Zauważa z dużym zaniepokojeniem, że właściwe funkcjonowani</w:t>
            </w:r>
            <w:r w:rsidR="009D265B" w:rsidRPr="001E11A7">
              <w:rPr>
                <w:sz w:val="20"/>
                <w:szCs w:val="20"/>
              </w:rPr>
              <w:t>e instytucji demokratycznych, a </w:t>
            </w:r>
            <w:r w:rsidRPr="001E11A7">
              <w:rPr>
                <w:sz w:val="20"/>
                <w:szCs w:val="20"/>
              </w:rPr>
              <w:t>także wiarygodne postępy w dziedzinie praworządności wcią</w:t>
            </w:r>
            <w:r w:rsidR="001E11A7">
              <w:rPr>
                <w:sz w:val="20"/>
                <w:szCs w:val="20"/>
              </w:rPr>
              <w:t>ż pozostają głównym wyzwaniem w </w:t>
            </w:r>
            <w:r w:rsidRPr="001E11A7">
              <w:rPr>
                <w:sz w:val="20"/>
                <w:szCs w:val="20"/>
              </w:rPr>
              <w:t>zainteresowanych krajach.</w:t>
            </w:r>
          </w:p>
          <w:p w14:paraId="594602DE" w14:textId="77777777" w:rsidR="0009583E" w:rsidRPr="001E11A7" w:rsidRDefault="0009583E" w:rsidP="001E11A7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Z zadowoleniem przyjmuje fakt, że wniosek w sprawie Instrumentu Pomocy Przedakcesyjnej (IPA III) przewiduje zwiększenie strategicznego i dynamicznego wdrażania pomocy; zachęca Komisję do ułatwiania budowania zdolności i kompetencji władz lokalnych i regionalnych za pomocą konkretnych instrumentów.</w:t>
            </w:r>
          </w:p>
          <w:p w14:paraId="6DE8F5EF" w14:textId="2B118677" w:rsidR="0009583E" w:rsidRPr="001E11A7" w:rsidRDefault="0009583E" w:rsidP="001E11A7">
            <w:pPr>
              <w:pStyle w:val="Heading1"/>
              <w:numPr>
                <w:ilvl w:val="0"/>
                <w:numId w:val="70"/>
              </w:numPr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Popiera zasadę wypełnienia sprawiedliwych i rygorystycznyc</w:t>
            </w:r>
            <w:r w:rsidR="009D265B" w:rsidRPr="001E11A7">
              <w:rPr>
                <w:sz w:val="20"/>
                <w:szCs w:val="20"/>
              </w:rPr>
              <w:t>h warunków oraz skupienie się w </w:t>
            </w:r>
            <w:r w:rsidRPr="001E11A7">
              <w:rPr>
                <w:sz w:val="20"/>
                <w:szCs w:val="20"/>
              </w:rPr>
              <w:t>pierwszej kolejności na kwestiach podstawowych.</w:t>
            </w:r>
          </w:p>
          <w:p w14:paraId="1D2FB242" w14:textId="77777777" w:rsidR="0009583E" w:rsidRPr="001E11A7" w:rsidRDefault="0009583E" w:rsidP="001E11A7">
            <w:pPr>
              <w:pStyle w:val="Heading1"/>
              <w:numPr>
                <w:ilvl w:val="0"/>
                <w:numId w:val="70"/>
              </w:numPr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Wyraża zaniepokojenie rosnącą wrogością wobec społeczeństwa obywatelskiego i kurczeniem się wolności słowa.</w:t>
            </w:r>
          </w:p>
          <w:p w14:paraId="49D65F20" w14:textId="5FA6FA26" w:rsidR="0009583E" w:rsidRPr="001E11A7" w:rsidRDefault="0009583E" w:rsidP="001E11A7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Jest przekonany, że władze lokalne i regionalne mogą zar</w:t>
            </w:r>
            <w:r w:rsidR="009D265B" w:rsidRPr="001E11A7">
              <w:rPr>
                <w:sz w:val="20"/>
                <w:szCs w:val="20"/>
              </w:rPr>
              <w:t>adzić pewnym niedociągnięciom w </w:t>
            </w:r>
            <w:r w:rsidRPr="001E11A7">
              <w:rPr>
                <w:sz w:val="20"/>
                <w:szCs w:val="20"/>
              </w:rPr>
              <w:t>zakresie praworządności i praw podstawowych oraz zwalczać dyskryminację.</w:t>
            </w:r>
          </w:p>
          <w:p w14:paraId="400C1D9A" w14:textId="3E1756E4" w:rsidR="0009583E" w:rsidRPr="001E11A7" w:rsidRDefault="0009583E" w:rsidP="001E11A7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Z zadowoleniem przyjmuje historyczne porozumienie znad Prespy osiągn</w:t>
            </w:r>
            <w:r w:rsidR="001E11A7">
              <w:rPr>
                <w:sz w:val="20"/>
                <w:szCs w:val="20"/>
              </w:rPr>
              <w:t>ięte przez Macedonię Północną i </w:t>
            </w:r>
            <w:r w:rsidRPr="001E11A7">
              <w:rPr>
                <w:sz w:val="20"/>
                <w:szCs w:val="20"/>
              </w:rPr>
              <w:t>Grecję.</w:t>
            </w:r>
          </w:p>
          <w:p w14:paraId="2BD861A8" w14:textId="77777777" w:rsidR="0009583E" w:rsidRPr="001E11A7" w:rsidRDefault="0009583E" w:rsidP="001E11A7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W pełni popiera otwarcie negocjacji akcesyjnych z Macedonią Północną i Albanią.</w:t>
            </w:r>
          </w:p>
          <w:p w14:paraId="2727332A" w14:textId="77777777" w:rsidR="0009583E" w:rsidRPr="001E11A7" w:rsidRDefault="0009583E" w:rsidP="001E11A7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Z zaniepokojeniem zauważa, że Serbia i Czarnogóra nie podejmują jeszcze bardziej zdecydowanych działań w kluczowych obszarach, w szczególności w kierunku ograniczenia polaryzacji sceny politycznej.</w:t>
            </w:r>
          </w:p>
          <w:p w14:paraId="25E29086" w14:textId="77777777" w:rsidR="0009583E" w:rsidRPr="001E11A7" w:rsidRDefault="0009583E" w:rsidP="001E11A7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Ponownie wyraża głębokie zaniepokojenie i rozczarowanie faktem, że od 2008 r. nie odbyły się wybory do rady miejskiej w Mostarze (Bośnia i Hercegowina).</w:t>
            </w:r>
          </w:p>
          <w:p w14:paraId="7FCF3C58" w14:textId="77777777" w:rsidR="0009583E" w:rsidRPr="001E11A7" w:rsidRDefault="0009583E" w:rsidP="001E11A7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Zwraca się do Rady o pilne zajęcie się kwestią liberalizacji reżimu wizowego dla Kosowa.</w:t>
            </w:r>
          </w:p>
          <w:p w14:paraId="4C4AE9BD" w14:textId="77777777" w:rsidR="0009583E" w:rsidRPr="001E11A7" w:rsidRDefault="0009583E" w:rsidP="001E11A7">
            <w:pPr>
              <w:numPr>
                <w:ilvl w:val="0"/>
                <w:numId w:val="70"/>
              </w:numPr>
              <w:autoSpaceDE w:val="0"/>
              <w:autoSpaceDN w:val="0"/>
              <w:spacing w:line="240" w:lineRule="auto"/>
              <w:ind w:left="316" w:hanging="284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Z ubolewaniem zauważa, że w Turcji stale pogarsza się sytuacja w zakresie podstawowych praw człowieka oraz doszło do poważnego regresu w obszarze praworządności i praw podstawowych.</w:t>
            </w:r>
          </w:p>
          <w:p w14:paraId="70F5D58B" w14:textId="01106C8E" w:rsidR="0009583E" w:rsidRPr="001E11A7" w:rsidRDefault="0009583E" w:rsidP="001E11A7">
            <w:pPr>
              <w:numPr>
                <w:ilvl w:val="0"/>
                <w:numId w:val="70"/>
              </w:numPr>
              <w:overflowPunct w:val="0"/>
              <w:autoSpaceDE w:val="0"/>
              <w:autoSpaceDN w:val="0"/>
              <w:spacing w:line="240" w:lineRule="auto"/>
              <w:ind w:left="316" w:hanging="284"/>
              <w:textAlignment w:val="baseline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Zachęca władze lokalne i regionalne w UE do dalszego zacieśniania ws</w:t>
            </w:r>
            <w:r w:rsidR="001E11A7">
              <w:rPr>
                <w:sz w:val="20"/>
                <w:szCs w:val="20"/>
              </w:rPr>
              <w:t>półpracy z ich odpowiednikami w </w:t>
            </w:r>
            <w:r w:rsidRPr="001E11A7">
              <w:rPr>
                <w:sz w:val="20"/>
                <w:szCs w:val="20"/>
              </w:rPr>
              <w:t>krajach kandydujących i potencjalnych krajach kandydujących.</w:t>
            </w:r>
          </w:p>
          <w:p w14:paraId="220E2631" w14:textId="35320049" w:rsidR="0009583E" w:rsidRPr="001E11A7" w:rsidRDefault="0009583E" w:rsidP="001E11A7">
            <w:pPr>
              <w:numPr>
                <w:ilvl w:val="0"/>
                <w:numId w:val="70"/>
              </w:numPr>
              <w:overflowPunct w:val="0"/>
              <w:autoSpaceDE w:val="0"/>
              <w:autoSpaceDN w:val="0"/>
              <w:spacing w:line="240" w:lineRule="auto"/>
              <w:ind w:left="316" w:hanging="284"/>
              <w:textAlignment w:val="baseline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Zachęca Komisję Europejską do zaproponowania konkretnych str</w:t>
            </w:r>
            <w:r w:rsidR="009D265B" w:rsidRPr="001E11A7">
              <w:rPr>
                <w:sz w:val="20"/>
                <w:szCs w:val="20"/>
              </w:rPr>
              <w:t>ategii politycznych, narzędzi i </w:t>
            </w:r>
            <w:r w:rsidRPr="001E11A7">
              <w:rPr>
                <w:sz w:val="20"/>
                <w:szCs w:val="20"/>
              </w:rPr>
              <w:t>instrumentów w celu zaangażowania władz lokalnych i regionalnych na Bałkanach Zachodnich.</w:t>
            </w:r>
          </w:p>
          <w:p w14:paraId="13DBE079" w14:textId="77777777" w:rsidR="0009583E" w:rsidRPr="001E11A7" w:rsidRDefault="0009583E" w:rsidP="001E11A7">
            <w:pPr>
              <w:numPr>
                <w:ilvl w:val="0"/>
                <w:numId w:val="70"/>
              </w:numPr>
              <w:overflowPunct w:val="0"/>
              <w:autoSpaceDE w:val="0"/>
              <w:autoSpaceDN w:val="0"/>
              <w:spacing w:line="240" w:lineRule="auto"/>
              <w:ind w:left="316" w:hanging="284"/>
              <w:textAlignment w:val="baseline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>Zachęca Komisję Europejską do opracowania praktycznego narzędzia wspierania skutecznego budowania zdolności władz lokalnych i regionalnych na Bałkanach Zachodnich.</w:t>
            </w:r>
          </w:p>
          <w:p w14:paraId="753F3E0C" w14:textId="147523E6" w:rsidR="0009583E" w:rsidRPr="001E11A7" w:rsidRDefault="0009583E" w:rsidP="001E11A7">
            <w:pPr>
              <w:numPr>
                <w:ilvl w:val="0"/>
                <w:numId w:val="68"/>
              </w:numPr>
              <w:overflowPunct w:val="0"/>
              <w:autoSpaceDE w:val="0"/>
              <w:autoSpaceDN w:val="0"/>
              <w:adjustRightInd w:val="0"/>
              <w:spacing w:line="240" w:lineRule="auto"/>
              <w:ind w:left="316" w:hanging="284"/>
              <w:contextualSpacing/>
              <w:textAlignment w:val="baseline"/>
              <w:rPr>
                <w:sz w:val="20"/>
                <w:szCs w:val="20"/>
              </w:rPr>
            </w:pPr>
            <w:r w:rsidRPr="001E11A7">
              <w:rPr>
                <w:sz w:val="20"/>
                <w:szCs w:val="20"/>
              </w:rPr>
              <w:t xml:space="preserve">Wzywa Komisję do lepszego włączenia krajów Bałkanów Zachodnich, a </w:t>
            </w:r>
            <w:r w:rsidR="001E11A7">
              <w:rPr>
                <w:sz w:val="20"/>
                <w:szCs w:val="20"/>
              </w:rPr>
              <w:t>zwłaszcza ich władz lokalnych i </w:t>
            </w:r>
            <w:r w:rsidRPr="001E11A7">
              <w:rPr>
                <w:sz w:val="20"/>
                <w:szCs w:val="20"/>
              </w:rPr>
              <w:t>regionalnych, w przyszły rozwój Porozumienia Burmistrzów oraz innych inicjatyw zmierzających do osiągnięcia celów agendy na rzecz zrównoważonego rozwoju 2030.</w:t>
            </w:r>
          </w:p>
        </w:tc>
      </w:tr>
    </w:tbl>
    <w:p w14:paraId="1A502A77" w14:textId="77777777" w:rsidR="006E1FB3" w:rsidRPr="009D265B" w:rsidRDefault="00833949">
      <w:pPr>
        <w:tabs>
          <w:tab w:val="left" w:pos="440"/>
        </w:tabs>
        <w:ind w:left="440" w:hanging="440"/>
        <w:sectPr w:rsidR="006E1FB3" w:rsidRPr="009D265B" w:rsidSect="009D265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39" w:code="9"/>
          <w:pgMar w:top="1417" w:right="1417" w:bottom="1417" w:left="1417" w:header="709" w:footer="709" w:gutter="0"/>
          <w:pgNumType w:start="1"/>
          <w:cols w:space="720"/>
          <w:docGrid w:linePitch="299"/>
        </w:sectPr>
      </w:pPr>
      <w:r w:rsidRPr="009D265B">
        <w:rPr>
          <w:lang w:eastAsia="fr-BE"/>
        </w:rPr>
        <w:drawing>
          <wp:anchor distT="0" distB="0" distL="114300" distR="114300" simplePos="0" relativeHeight="251664384" behindDoc="0" locked="0" layoutInCell="1" allowOverlap="1" wp14:anchorId="7F883152" wp14:editId="26D915B8">
            <wp:simplePos x="0" y="0"/>
            <wp:positionH relativeFrom="margin">
              <wp:posOffset>-15571</wp:posOffset>
            </wp:positionH>
            <wp:positionV relativeFrom="page">
              <wp:posOffset>10185400</wp:posOffset>
            </wp:positionV>
            <wp:extent cx="5760000" cy="291600"/>
            <wp:effectExtent l="0" t="0" r="0" b="0"/>
            <wp:wrapSquare wrapText="bothSides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29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289"/>
      </w:tblGrid>
      <w:tr w:rsidR="00183B81" w:rsidRPr="009D265B" w14:paraId="1FA00F36" w14:textId="77777777">
        <w:trPr>
          <w:trHeight w:val="12474"/>
        </w:trPr>
        <w:tc>
          <w:tcPr>
            <w:tcW w:w="9289" w:type="dxa"/>
            <w:vAlign w:val="bottom"/>
          </w:tcPr>
          <w:p w14:paraId="1079C850" w14:textId="296A24F5" w:rsidR="00511212" w:rsidRPr="009D265B" w:rsidRDefault="00B37612" w:rsidP="009D265B">
            <w:r w:rsidRPr="009D265B">
              <w:rPr>
                <w:u w:val="single"/>
              </w:rPr>
              <w:lastRenderedPageBreak/>
              <w:t>Sprawozdawca</w:t>
            </w:r>
          </w:p>
          <w:p w14:paraId="2B065791" w14:textId="77777777" w:rsidR="00511212" w:rsidRPr="009D265B" w:rsidRDefault="00511212" w:rsidP="009D265B"/>
          <w:p w14:paraId="2D5A197D" w14:textId="77777777" w:rsidR="00B37612" w:rsidRPr="009D265B" w:rsidRDefault="00B37612" w:rsidP="009D265B">
            <w:r w:rsidRPr="009D265B">
              <w:rPr>
                <w:b/>
              </w:rPr>
              <w:t>Jaroslav HLINKA</w:t>
            </w:r>
            <w:r w:rsidRPr="009D265B">
              <w:t xml:space="preserve"> (SK/PES), burmistrz dzielnicy Koszyce-Południe</w:t>
            </w:r>
          </w:p>
          <w:p w14:paraId="749092A5" w14:textId="77777777" w:rsidR="00B37612" w:rsidRPr="009D265B" w:rsidRDefault="00B37612" w:rsidP="009D265B">
            <w:pPr>
              <w:rPr>
                <w:u w:val="single"/>
              </w:rPr>
            </w:pPr>
          </w:p>
          <w:p w14:paraId="6956B3A8" w14:textId="77777777" w:rsidR="006E1FB3" w:rsidRPr="009D265B" w:rsidRDefault="006E1FB3">
            <w:pPr>
              <w:rPr>
                <w:u w:val="single"/>
              </w:rPr>
            </w:pPr>
            <w:r w:rsidRPr="009D265B">
              <w:rPr>
                <w:u w:val="single"/>
              </w:rPr>
              <w:t>Dokumenty źródłowe</w:t>
            </w:r>
          </w:p>
          <w:p w14:paraId="3E372DA4" w14:textId="77777777" w:rsidR="006E1FB3" w:rsidRPr="009D265B" w:rsidRDefault="006E1FB3"/>
          <w:p w14:paraId="65DEBED9" w14:textId="77777777" w:rsidR="006E1FB3" w:rsidRPr="009D265B" w:rsidRDefault="006E1FB3">
            <w:r w:rsidRPr="009D265B">
              <w:t>Komunikat do Parlamentu Europejskiego, Rady, Europejskiego Komitetu Ekonomiczno-Społecznego i Komitetu Regionów „Komunikat w sprawie polityki rozszerzenia UE w 2019 r.”</w:t>
            </w:r>
          </w:p>
          <w:p w14:paraId="2D4C759B" w14:textId="77777777" w:rsidR="006E1FB3" w:rsidRPr="009D265B" w:rsidRDefault="006E1FB3">
            <w:r w:rsidRPr="009D265B">
              <w:t xml:space="preserve">COM(2019) 260 final; </w:t>
            </w:r>
          </w:p>
          <w:p w14:paraId="6A122109" w14:textId="77777777" w:rsidR="008B2EC3" w:rsidRPr="009D265B" w:rsidRDefault="006E1FB3">
            <w:r w:rsidRPr="009D265B">
              <w:t>SWD(2019) 215 final; SWD(2019) 216 final; SWD(2019) 217 final; SWD(2019) 218 final; SWD(2019) 219 final; SWD(2019) 220 final</w:t>
            </w:r>
          </w:p>
          <w:p w14:paraId="69488EED" w14:textId="6601B1E2" w:rsidR="00A928D2" w:rsidRPr="009D265B" w:rsidRDefault="00A928D2"/>
        </w:tc>
      </w:tr>
    </w:tbl>
    <w:p w14:paraId="5A7460C9" w14:textId="77777777" w:rsidR="00833949" w:rsidRPr="009D265B" w:rsidRDefault="00833949">
      <w:r w:rsidRPr="009D265B">
        <w:br w:type="page"/>
      </w:r>
    </w:p>
    <w:p w14:paraId="3DB1D483" w14:textId="4DA07068" w:rsidR="00444A98" w:rsidRPr="009D265B" w:rsidRDefault="006D61F8">
      <w:pPr>
        <w:jc w:val="center"/>
        <w:rPr>
          <w:b/>
        </w:rPr>
      </w:pPr>
      <w:r w:rsidRPr="009D265B">
        <w:rPr>
          <w:b/>
        </w:rPr>
        <w:lastRenderedPageBreak/>
        <w:t>Opinia Europejskiego Komitetu Regionów – Pakiet „rozszerzenie” na 2019 r.</w:t>
      </w:r>
    </w:p>
    <w:p w14:paraId="6A328918" w14:textId="77777777" w:rsidR="0013749C" w:rsidRPr="009D265B" w:rsidRDefault="0013749C" w:rsidP="001B0588"/>
    <w:p w14:paraId="2FC23FF3" w14:textId="77777777" w:rsidR="00833949" w:rsidRPr="009D265B" w:rsidRDefault="00444A98" w:rsidP="00555485">
      <w:pPr>
        <w:keepNext/>
        <w:numPr>
          <w:ilvl w:val="0"/>
          <w:numId w:val="67"/>
        </w:numPr>
        <w:ind w:left="567" w:hanging="567"/>
        <w:rPr>
          <w:b/>
        </w:rPr>
      </w:pPr>
      <w:r w:rsidRPr="009D265B">
        <w:rPr>
          <w:b/>
        </w:rPr>
        <w:t>ZALECENIA POLITYCZNE</w:t>
      </w:r>
    </w:p>
    <w:p w14:paraId="4A1C2C23" w14:textId="77777777" w:rsidR="004E0DC0" w:rsidRPr="009D265B" w:rsidRDefault="004E0DC0" w:rsidP="00555485"/>
    <w:p w14:paraId="35D612E8" w14:textId="77777777" w:rsidR="008B032F" w:rsidRPr="009D265B" w:rsidRDefault="00833949" w:rsidP="00555485">
      <w:r w:rsidRPr="009D265B">
        <w:t>EUROPEJSKI KOMITET REGIONÓW</w:t>
      </w:r>
    </w:p>
    <w:p w14:paraId="70A0201A" w14:textId="77777777" w:rsidR="00833949" w:rsidRPr="009D265B" w:rsidRDefault="00833949" w:rsidP="00555485"/>
    <w:p w14:paraId="49FC6CC5" w14:textId="7788C5F3" w:rsidR="00833949" w:rsidRPr="009D265B" w:rsidRDefault="00833949" w:rsidP="00833949">
      <w:pPr>
        <w:rPr>
          <w:b/>
        </w:rPr>
      </w:pPr>
      <w:r w:rsidRPr="009D265B">
        <w:rPr>
          <w:b/>
        </w:rPr>
        <w:t>Uwagi ogólne</w:t>
      </w:r>
    </w:p>
    <w:p w14:paraId="73E5ADFC" w14:textId="77777777" w:rsidR="00833949" w:rsidRPr="009D265B" w:rsidRDefault="00833949" w:rsidP="00555485"/>
    <w:p w14:paraId="4D509661" w14:textId="77777777" w:rsidR="008B032F" w:rsidRPr="009D265B" w:rsidRDefault="008B032F" w:rsidP="00555485">
      <w:pPr>
        <w:pStyle w:val="Heading1"/>
      </w:pPr>
      <w:r w:rsidRPr="009D265B">
        <w:t>Przyjmuje z dużym zainteresowaniem komunikat Komisji Europejskiej w sprawie polityki rozszerzenia UE z 2019 r., sprawozdania krajowe dotyczące krajów kandydujących: Albanii, Czarnogóry, Macedonii Północnej, Serbii i Turcji, sprawozdanie na temat Kosowa</w:t>
      </w:r>
      <w:r w:rsidRPr="009D265B">
        <w:rPr>
          <w:rStyle w:val="FootnoteReference"/>
        </w:rPr>
        <w:footnoteReference w:customMarkFollows="1" w:id="1"/>
        <w:sym w:font="Symbol" w:char="F02A"/>
      </w:r>
      <w:r w:rsidRPr="009D265B">
        <w:t>, a także opinię w sprawie wniosku Bośni i Hercegowiny o członkostwo w Unii Europejskiej;</w:t>
      </w:r>
    </w:p>
    <w:p w14:paraId="27A5EE91" w14:textId="77777777" w:rsidR="004E0DC0" w:rsidRPr="009D265B" w:rsidRDefault="004E0DC0" w:rsidP="00555485"/>
    <w:p w14:paraId="23BDF6A9" w14:textId="77777777" w:rsidR="008B032F" w:rsidRPr="009D265B" w:rsidRDefault="008B032F" w:rsidP="00555485">
      <w:pPr>
        <w:pStyle w:val="Heading1"/>
      </w:pPr>
      <w:r w:rsidRPr="009D265B">
        <w:t>W pełni popiera stanowisko Komisji Europejskiej, zgodnie z którym rozszerzenie jest kwestią bezpieczeństwa i leży w interesie politycznym i gospodarczym UE oraz stanowi geostrategiczną inwestycję w pokój, stabilność, bezpieczeństwo i wzrost gospodarczy w całej Europie.</w:t>
      </w:r>
    </w:p>
    <w:p w14:paraId="49AC7DE5" w14:textId="77777777" w:rsidR="004E0DC0" w:rsidRPr="009D265B" w:rsidRDefault="004E0DC0" w:rsidP="00555485"/>
    <w:p w14:paraId="7966A57C" w14:textId="77777777" w:rsidR="008B032F" w:rsidRPr="009D265B" w:rsidRDefault="008B032F" w:rsidP="00555485">
      <w:pPr>
        <w:pStyle w:val="Heading1"/>
      </w:pPr>
      <w:r w:rsidRPr="009D265B">
        <w:t>Wyraża zadowolenie, że przywódcy UE ponownie potwierdzili jednoznaczne poparcie dla europejskiej perspektywy Bałkanów Zachodnich, a partnerzy z Bałkanów Zachodnich odnowili swoje zobowiązanie wobec tej perspektywy jako ich zdecydowanego strategicznego wyboru na szczycie UE i Bałkanów Zachodnich w Sofii w maju 2018 r.</w:t>
      </w:r>
    </w:p>
    <w:p w14:paraId="71E78A71" w14:textId="77777777" w:rsidR="004E0DC0" w:rsidRPr="009D265B" w:rsidRDefault="004E0DC0" w:rsidP="00555485"/>
    <w:p w14:paraId="5AB70FC1" w14:textId="77777777" w:rsidR="008B032F" w:rsidRPr="009D265B" w:rsidRDefault="008B032F" w:rsidP="00555485">
      <w:pPr>
        <w:pStyle w:val="Heading1"/>
      </w:pPr>
      <w:r w:rsidRPr="009D265B">
        <w:t>Z zadowoleniem przyjmuje fakt, że wniosek Komisji Europejskiej dotyczący Instrumentu Pomocy Przedakcesyjnej (IPA III) w wieloletnich ramach finansowych na lata 2021–2027 przewiduje bardziej strategiczne i dynamiczne przydzielanie pomocy i koncentruje się na kluczowych priorytetach.</w:t>
      </w:r>
    </w:p>
    <w:p w14:paraId="3BE43EF2" w14:textId="77777777" w:rsidR="004E0DC0" w:rsidRPr="009D265B" w:rsidRDefault="004E0DC0" w:rsidP="00555485"/>
    <w:p w14:paraId="3E4FAFF8" w14:textId="078F4FC1" w:rsidR="008B032F" w:rsidRPr="009D265B" w:rsidRDefault="008B032F" w:rsidP="00555485">
      <w:pPr>
        <w:pStyle w:val="Heading1"/>
      </w:pPr>
      <w:r w:rsidRPr="009D265B">
        <w:t>W związku z tym wzywa Komisję Europejską do dalszej w</w:t>
      </w:r>
      <w:r w:rsidR="001E11A7">
        <w:t>spółpracy z rządami krajowymi w </w:t>
      </w:r>
      <w:r w:rsidRPr="009D265B">
        <w:t>krajach kandydujących i potencjalnych krajach kandydujących w celu opracowania konkretnych instrumentów służących budowaniu z</w:t>
      </w:r>
      <w:r w:rsidR="001E11A7">
        <w:t>dolności samorządów lokalnych i </w:t>
      </w:r>
      <w:r w:rsidRPr="009D265B">
        <w:t>regionalnych na Bałkanach Zachodnich do skutecznego absorbowania przydzielonych środków finansowych, a także w celu rozwiązania problemu braków strukturalnych w ich zdolności do współfinansowania i prefinansowania przygotowań i realizacji projektów wspieranych przez UE.</w:t>
      </w:r>
    </w:p>
    <w:p w14:paraId="121E7FB5" w14:textId="77777777" w:rsidR="004E0DC0" w:rsidRPr="009D265B" w:rsidRDefault="004E0DC0" w:rsidP="00555485"/>
    <w:p w14:paraId="37160897" w14:textId="289F2DB2" w:rsidR="008B032F" w:rsidRPr="009D265B" w:rsidRDefault="008B032F" w:rsidP="00555485">
      <w:pPr>
        <w:pStyle w:val="Heading1"/>
      </w:pPr>
      <w:r w:rsidRPr="009D265B">
        <w:t>Przypomina, że skuteczne reformy administracji publicznej w</w:t>
      </w:r>
      <w:r w:rsidR="001E11A7">
        <w:t xml:space="preserve"> krajach Bałkanów Zachodnich, w </w:t>
      </w:r>
      <w:r w:rsidRPr="009D265B">
        <w:t>tym decentralizacja podatkowa, mają zasadnicze znaczenie dla poprawy dobrych rządów na szczeblu lokalnym, dla wzmocnienia zdolności samorządów lokalnych i regionalnych do przygotowania i świadczenia wysokiej jakości usług wraz z obywatelami i dla obywateli, dla ich zaangażowania we współpracę regionalną i stosunki dobrosąsiedzkie, a także dla realizacji ambitnych europejskich i globalnych programów dotyc</w:t>
      </w:r>
      <w:r w:rsidR="001E11A7">
        <w:t>zących zrównoważonego rozwoju i </w:t>
      </w:r>
      <w:r w:rsidRPr="009D265B">
        <w:t>zmiany klimatu.</w:t>
      </w:r>
    </w:p>
    <w:p w14:paraId="6354476B" w14:textId="77777777" w:rsidR="004E0DC0" w:rsidRPr="009D265B" w:rsidRDefault="004E0DC0" w:rsidP="00555485">
      <w:pPr>
        <w:rPr>
          <w:szCs w:val="20"/>
        </w:rPr>
      </w:pPr>
    </w:p>
    <w:p w14:paraId="3344C769" w14:textId="77777777" w:rsidR="008B032F" w:rsidRPr="009D265B" w:rsidRDefault="008B032F" w:rsidP="00555485">
      <w:pPr>
        <w:keepNext/>
        <w:rPr>
          <w:b/>
          <w:szCs w:val="20"/>
        </w:rPr>
      </w:pPr>
      <w:r w:rsidRPr="009D265B">
        <w:rPr>
          <w:b/>
        </w:rPr>
        <w:lastRenderedPageBreak/>
        <w:t>Uwagi dotyczące poszczególnych krajów.</w:t>
      </w:r>
    </w:p>
    <w:p w14:paraId="70A2E46D" w14:textId="77777777" w:rsidR="004E0DC0" w:rsidRPr="009D265B" w:rsidRDefault="004E0DC0" w:rsidP="00555485">
      <w:pPr>
        <w:keepNext/>
      </w:pPr>
    </w:p>
    <w:p w14:paraId="34222F45" w14:textId="77777777" w:rsidR="008B032F" w:rsidRPr="009D265B" w:rsidRDefault="008B032F" w:rsidP="00555485">
      <w:pPr>
        <w:pStyle w:val="Heading1"/>
      </w:pPr>
      <w:r w:rsidRPr="009D265B">
        <w:t>Z zadowoleniem przyjmuje historyczne porozumienie znad Prespy osiągnięte przez Macedonię Północną i Grecję w czerwcu 2018 r., które rozwiązuje 27-letni spór o nazwę.</w:t>
      </w:r>
    </w:p>
    <w:p w14:paraId="1E7C45B5" w14:textId="77777777" w:rsidR="004E0DC0" w:rsidRPr="009D265B" w:rsidRDefault="004E0DC0" w:rsidP="00555485"/>
    <w:p w14:paraId="208AE9DA" w14:textId="47B5F094" w:rsidR="008B032F" w:rsidRPr="009D265B" w:rsidRDefault="008B032F" w:rsidP="00555485">
      <w:pPr>
        <w:pStyle w:val="Heading1"/>
      </w:pPr>
      <w:r w:rsidRPr="009D265B">
        <w:t xml:space="preserve">Z zadowoleniem przyjmuje fakt, że Rada postanowiła ustosunkować się do postępów poczynionych przez Albanię i Macedonię Północną w obszarach określonych </w:t>
      </w:r>
      <w:r w:rsidR="001E11A7">
        <w:t>jednomyślnie w </w:t>
      </w:r>
      <w:r w:rsidRPr="009D265B">
        <w:t>konkluzjach Rady z czerwca 2018 r. i wskazała drogę do ot</w:t>
      </w:r>
      <w:r w:rsidR="001E11A7">
        <w:t>warcia negocjacji akcesyjnych z </w:t>
      </w:r>
      <w:r w:rsidRPr="009D265B">
        <w:t>tymi dwoma krajami.</w:t>
      </w:r>
    </w:p>
    <w:p w14:paraId="6FDAC47A" w14:textId="77777777" w:rsidR="003112C5" w:rsidRPr="009D265B" w:rsidRDefault="003112C5" w:rsidP="00555485"/>
    <w:p w14:paraId="36B0685E" w14:textId="5585D844" w:rsidR="008B032F" w:rsidRPr="009D265B" w:rsidRDefault="008B032F" w:rsidP="003112C5">
      <w:pPr>
        <w:pStyle w:val="Heading1"/>
      </w:pPr>
      <w:r w:rsidRPr="009D265B">
        <w:t>Ubolewa, że wybory lokalne w Albanii w czerwcu 2019 r. były</w:t>
      </w:r>
      <w:r w:rsidR="001E11A7">
        <w:t xml:space="preserve"> naznaczone bojkotem opozycji i </w:t>
      </w:r>
      <w:r w:rsidRPr="009D265B">
        <w:t>niską frekwencją, oraz przypomina, że proces rozszerzenia jest oparty na kryteriach merytorycznych i zależy od poszanowania zasad demokracji i innych kryteriów kopenhaskich.</w:t>
      </w:r>
    </w:p>
    <w:p w14:paraId="28A0B54B" w14:textId="77777777" w:rsidR="004E0DC0" w:rsidRPr="009D265B" w:rsidRDefault="004E0DC0" w:rsidP="00555485"/>
    <w:p w14:paraId="3857BB3D" w14:textId="37488C3E" w:rsidR="008B032F" w:rsidRPr="009D265B" w:rsidRDefault="008B032F" w:rsidP="00761E6C">
      <w:pPr>
        <w:pStyle w:val="Heading1"/>
      </w:pPr>
      <w:r w:rsidRPr="009D265B">
        <w:t>Wyraża poważne zaniepokojenie faktem, że dalsze d</w:t>
      </w:r>
      <w:r w:rsidR="001E11A7">
        <w:t>ecyzje Rady w sprawie Albanii i </w:t>
      </w:r>
      <w:r w:rsidRPr="009D265B">
        <w:t>Macedonii Północnej zostały początkowo przełożone z czerwca na październik 2019 r., oraz głębokie rozczarowanie decyzją Rady Europejskiej z października 2019 r. w sprawie dalszego odroczenia rozpoczęcia negocjacji o przystąpieniu Albanii i Macedonii Północnej, które wykazały się ciągłym zaangażowaniem na rzecz utrzymania europejskiego kursu. Ubolewa również, że decyzja ta nie była oparta na indywidualnych ocenach postępów każdego kraju kandydującego, i ostrzega, że brak pozytywnego sygnału dla tych dwóch krajów kandydujących może mieć również negatywne skutki na szczeblu lokalnym i regionalnym. Ponadto zaleca Radzie, by kwestia ta została pozytywnie rozwiązana przed szczytem UE–Bałkany Zachodnie, który odbędzie się w Zagrzebiu w maju 2020 r.</w:t>
      </w:r>
    </w:p>
    <w:p w14:paraId="18B6E775" w14:textId="77777777" w:rsidR="004E0DC0" w:rsidRPr="009D265B" w:rsidRDefault="004E0DC0" w:rsidP="00555485"/>
    <w:p w14:paraId="3BDA343E" w14:textId="28BF0BC7" w:rsidR="006056C6" w:rsidRPr="009D265B" w:rsidRDefault="00761E6C" w:rsidP="006056C6">
      <w:pPr>
        <w:pStyle w:val="Heading1"/>
      </w:pPr>
      <w:r w:rsidRPr="009D265B">
        <w:t>W pełni popiera rezolucję Parlamentu Europejskiego z dnia 24 października 2019 r.</w:t>
      </w:r>
      <w:r w:rsidRPr="009D265B">
        <w:rPr>
          <w:rStyle w:val="FootnoteReference"/>
        </w:rPr>
        <w:footnoteReference w:id="2"/>
      </w:r>
      <w:r w:rsidRPr="009D265B">
        <w:t xml:space="preserve"> pt. „Otwarcie negocjacji akcesyjnych z Macedonią Północną i Albanią” i zdecydowanie wzywa Radę do uwzględnienia faktu, że wiarygodna strategia r</w:t>
      </w:r>
      <w:r w:rsidR="001E11A7">
        <w:t>ozszerzenia UE musi motywować i </w:t>
      </w:r>
      <w:r w:rsidRPr="009D265B">
        <w:t>uwzględniać osiągnięte wyniki, które zostały wcześniej uzgodnione przez wszystkie strony, oraz zapewniać stabilną i wiarygodną perspektywę dla wszystkich zainteresowanych krajów.</w:t>
      </w:r>
    </w:p>
    <w:p w14:paraId="2B336463" w14:textId="77777777" w:rsidR="006056C6" w:rsidRPr="009D265B" w:rsidRDefault="006056C6" w:rsidP="001B0588"/>
    <w:p w14:paraId="6D9EF27E" w14:textId="77777777" w:rsidR="006056C6" w:rsidRPr="009D265B" w:rsidRDefault="006056C6">
      <w:pPr>
        <w:pStyle w:val="Heading1"/>
      </w:pPr>
      <w:r w:rsidRPr="009D265B">
        <w:t>Obawia się ponadto, że brak postępów w rozszerzaniu UE może mieć również bezpośredni wpływ na bezpieczeństwo i dobrobyt samej UE, ponieważ może stopniowo pchać wszystkie kraje Bałkanów Zachodnich w ramiona państw trzecich, które już próbują zwiększyć swoje wpływy w tym regionie, w tym – choć nie wyłącznie – w ramiona Rosji i Chin.</w:t>
      </w:r>
    </w:p>
    <w:p w14:paraId="05C9C563" w14:textId="77777777" w:rsidR="006056C6" w:rsidRPr="009D265B" w:rsidRDefault="006056C6" w:rsidP="00555485"/>
    <w:p w14:paraId="28A612F3" w14:textId="77777777" w:rsidR="008B032F" w:rsidRPr="009D265B" w:rsidRDefault="008B032F" w:rsidP="00555485">
      <w:pPr>
        <w:pStyle w:val="Heading1"/>
      </w:pPr>
      <w:r w:rsidRPr="009D265B">
        <w:t>Z zaniepokojeniem zauważa, że Serbia i Czarnogóra nie podejmują jeszcze bardziej zdecydowanych działań w kluczowych obszarach, w szczególności w kierunku ograniczenia polaryzacji sceny politycznej, w tym na szczeblu lokalnym.</w:t>
      </w:r>
    </w:p>
    <w:p w14:paraId="0631BFA9" w14:textId="77777777" w:rsidR="004E0DC0" w:rsidRPr="009D265B" w:rsidRDefault="004E0DC0" w:rsidP="00555485"/>
    <w:p w14:paraId="3D925F88" w14:textId="7DD85FB3" w:rsidR="008B032F" w:rsidRPr="009D265B" w:rsidRDefault="008B032F" w:rsidP="00555485">
      <w:pPr>
        <w:pStyle w:val="Heading1"/>
      </w:pPr>
      <w:r w:rsidRPr="009D265B">
        <w:t>Wzywa wszystkie podmioty polityczne i szczeble władzy w S</w:t>
      </w:r>
      <w:r w:rsidR="001E11A7">
        <w:t>erbii, Czarnogórze oraz Bośni i </w:t>
      </w:r>
      <w:r w:rsidRPr="009D265B">
        <w:t xml:space="preserve">Hercegowinie do ścisłej współpracy na rzecz wdrożenia zaleceń OBWE/ODIHR w sprawie poprawy lokalnych warunków związanych z wyborami oraz do zaangażowania się w tworzenie przejrzystego i pluralistycznego lokalnego środowiska politycznego, opartego na </w:t>
      </w:r>
      <w:r w:rsidRPr="009D265B">
        <w:lastRenderedPageBreak/>
        <w:t>międzypartyjnej debacie oraz wolnego od nacisków politycznych i zastraszania przeciwników politycznych.</w:t>
      </w:r>
    </w:p>
    <w:p w14:paraId="3367B388" w14:textId="77777777" w:rsidR="004E0DC0" w:rsidRPr="009D265B" w:rsidRDefault="004E0DC0" w:rsidP="00555485"/>
    <w:p w14:paraId="2C5F3B0E" w14:textId="77777777" w:rsidR="008B032F" w:rsidRPr="009D265B" w:rsidRDefault="008B032F" w:rsidP="00555485">
      <w:pPr>
        <w:pStyle w:val="Heading1"/>
      </w:pPr>
      <w:r w:rsidRPr="009D265B">
        <w:t>Zwraca się do Komisji Europejskiej o zajęcie się w negocjacjach akcesyjnych z Serbią zarzutami zastraszania demokratycznie wybranych urzędników partii opozycyjnych, zwłaszcza w gminach Paralićin, Šabac i Čajetina.</w:t>
      </w:r>
    </w:p>
    <w:p w14:paraId="5C6948F9" w14:textId="77777777" w:rsidR="004E0DC0" w:rsidRPr="009D265B" w:rsidRDefault="004E0DC0" w:rsidP="00555485"/>
    <w:p w14:paraId="4E215DD6" w14:textId="77777777" w:rsidR="008B032F" w:rsidRPr="009D265B" w:rsidRDefault="008B032F" w:rsidP="00555485">
      <w:pPr>
        <w:pStyle w:val="Heading1"/>
      </w:pPr>
      <w:r w:rsidRPr="009D265B">
        <w:t>Zauważa, że Bośnia i Hercegowina nie spełnia jeszcze w wystarczającym stopniu kryteriów kopenhaskich, i zgadza się, że negocjacje w sprawie przystąpienia do UE powinny zostać otwarte po osiągnięciu przez ten kraj wystarczającej zgodności z tymi kryteriami.</w:t>
      </w:r>
    </w:p>
    <w:p w14:paraId="7119AB5D" w14:textId="77777777" w:rsidR="004E0DC0" w:rsidRPr="009D265B" w:rsidRDefault="004E0DC0" w:rsidP="00555485"/>
    <w:p w14:paraId="00CFF9B6" w14:textId="77777777" w:rsidR="008B032F" w:rsidRPr="009D265B" w:rsidRDefault="008B032F" w:rsidP="00555485">
      <w:pPr>
        <w:pStyle w:val="Heading1"/>
      </w:pPr>
      <w:r w:rsidRPr="009D265B">
        <w:t>Ponownie wyraża głębokie zaniepokojenie i rozczarowanie faktem, że Mostar jest jedyną gminą w Bośni i Hercegowinie, w której od 2008 r. nie odbyły się wybory do rady miejskiej.</w:t>
      </w:r>
    </w:p>
    <w:p w14:paraId="45AB7663" w14:textId="77777777" w:rsidR="004E0DC0" w:rsidRPr="009D265B" w:rsidRDefault="004E0DC0" w:rsidP="00555485"/>
    <w:p w14:paraId="5DE98171" w14:textId="64F9B9C5" w:rsidR="008B032F" w:rsidRPr="009D265B" w:rsidRDefault="008B032F" w:rsidP="00555485">
      <w:pPr>
        <w:pStyle w:val="Heading1"/>
        <w:rPr>
          <w:szCs w:val="20"/>
        </w:rPr>
      </w:pPr>
      <w:r w:rsidRPr="009D265B">
        <w:t xml:space="preserve">W kontekście wniosku Bośni i Hercegowiny o członkostwo w UE apeluje w szczególności do lokalnych przywódców politycznych w Mostarze i na szczeblu </w:t>
      </w:r>
      <w:r w:rsidR="001E11A7">
        <w:t>Federacji Bośni i Hercegowiny o </w:t>
      </w:r>
      <w:r w:rsidRPr="009D265B">
        <w:t>zaprzestanie tego bezprecedensowego naruszania zasad zapisanych w art. 3 Europejskiej karty samorządu lokalnego, która jest wiążąca dla wszystkich państw członkowskich Rad</w:t>
      </w:r>
      <w:r w:rsidR="001E11A7">
        <w:t>y Europy, w </w:t>
      </w:r>
      <w:r w:rsidRPr="009D265B">
        <w:t>tym Bośni i Hercegowiny.</w:t>
      </w:r>
    </w:p>
    <w:p w14:paraId="6217AA4F" w14:textId="77777777" w:rsidR="004E0DC0" w:rsidRPr="009D265B" w:rsidRDefault="004E0DC0" w:rsidP="00555485"/>
    <w:p w14:paraId="40ED85DF" w14:textId="2BC0970C" w:rsidR="008B032F" w:rsidRPr="009D265B" w:rsidRDefault="008B032F" w:rsidP="00555485">
      <w:pPr>
        <w:pStyle w:val="Heading1"/>
        <w:rPr>
          <w:szCs w:val="20"/>
        </w:rPr>
      </w:pPr>
      <w:r w:rsidRPr="009D265B">
        <w:t>Zwraca uwagę, że pozostawienie impasu wyborcze</w:t>
      </w:r>
      <w:r w:rsidR="001E11A7">
        <w:t>go w Mostarze bez rozwiązania w </w:t>
      </w:r>
      <w:r w:rsidRPr="009D265B">
        <w:t xml:space="preserve">rzeczywistości uniemożliwia przystąpienie Bośni </w:t>
      </w:r>
      <w:r w:rsidR="001E11A7">
        <w:t>i Hercegowiny do UE, ponieważ w </w:t>
      </w:r>
      <w:r w:rsidRPr="009D265B">
        <w:t>momencie przystąpienia do UE doszłoby do naruszenia art. 40 Karty praw podstawowych Unii Europejskiej i pozbawienia obywateli UE przebywających w tym kraju prawa do głosowania i kandydowania w wyborach lokalnych.</w:t>
      </w:r>
    </w:p>
    <w:p w14:paraId="73358870" w14:textId="77777777" w:rsidR="004E0DC0" w:rsidRPr="009D265B" w:rsidRDefault="004E0DC0" w:rsidP="00555485"/>
    <w:p w14:paraId="67C01504" w14:textId="77777777" w:rsidR="008B032F" w:rsidRPr="009D265B" w:rsidRDefault="008B032F" w:rsidP="00555485">
      <w:pPr>
        <w:pStyle w:val="Heading1"/>
      </w:pPr>
      <w:r w:rsidRPr="009D265B">
        <w:t>Przypomina, że Komisja Europejska potwierdziła w lipcu 2018 r., że Kosowo spełnia wszystkie kryteria liberalizacji reżimu wizowego zatwierdzone przez Radę.</w:t>
      </w:r>
    </w:p>
    <w:p w14:paraId="4EF31CAF" w14:textId="77777777" w:rsidR="004E0DC0" w:rsidRPr="009D265B" w:rsidRDefault="004E0DC0" w:rsidP="00555485"/>
    <w:p w14:paraId="5FA0446F" w14:textId="77777777" w:rsidR="008B032F" w:rsidRPr="009D265B" w:rsidRDefault="008B032F" w:rsidP="00555485">
      <w:pPr>
        <w:pStyle w:val="Heading1"/>
      </w:pPr>
      <w:r w:rsidRPr="009D265B">
        <w:t>Z zadowoleniem przyjmuje poparcie Parlamentu Europejskiego dla wniosku Komisji Europejskiej w sprawie liberalizacji reżimu wizowego dla posiadaczy paszportów Kosowa, które zostało wyrażone we wrześniu 2018 r. i w marcu 2019 r. i powtórzone w nowej kadencji przez Komisję Wolności Obywatelskich we wrześniu 2019 r.</w:t>
      </w:r>
    </w:p>
    <w:p w14:paraId="226E2E84" w14:textId="77777777" w:rsidR="004E0DC0" w:rsidRPr="009D265B" w:rsidRDefault="004E0DC0" w:rsidP="00555485"/>
    <w:p w14:paraId="77FB4FC6" w14:textId="77777777" w:rsidR="008B032F" w:rsidRPr="009D265B" w:rsidRDefault="008B032F" w:rsidP="00555485">
      <w:pPr>
        <w:pStyle w:val="Heading1"/>
      </w:pPr>
      <w:r w:rsidRPr="009D265B">
        <w:t>Zwraca się do Rady o pilne zajęcie się kwestią liberalizacji reżimu wizowego z Kosowem pozostającym jedynym krajem Bałkanów Zachodnich, którego obywatele nadal potrzebują wizy, aby podróżować do państw UE.</w:t>
      </w:r>
    </w:p>
    <w:p w14:paraId="7F304641" w14:textId="77777777" w:rsidR="004E0DC0" w:rsidRPr="009D265B" w:rsidRDefault="004E0DC0" w:rsidP="00555485"/>
    <w:p w14:paraId="7A041808" w14:textId="77777777" w:rsidR="008B032F" w:rsidRPr="009D265B" w:rsidRDefault="008B032F" w:rsidP="005B233D">
      <w:pPr>
        <w:pStyle w:val="Heading1"/>
      </w:pPr>
      <w:r w:rsidRPr="009D265B">
        <w:t>Z ubolewaniem zauważa, że w Turcji stale pogarsza się sytuacja w zakresie podstawowych praw człowieka oraz doszło do poważnego regresu w obszarze praworządności i praw podstawowych; ponadto wyraża ubolewanie z powodu osłabienia skutecznych mechanizmów kontroli i równowagi w systemie politycznym, które nastąpiło wraz z wejściem w życie poprawek konstytucyjnych.</w:t>
      </w:r>
    </w:p>
    <w:p w14:paraId="50E474CE" w14:textId="77777777" w:rsidR="006056C6" w:rsidRPr="009D265B" w:rsidRDefault="006056C6" w:rsidP="00555485"/>
    <w:p w14:paraId="6761E5D0" w14:textId="439A039C" w:rsidR="005B233D" w:rsidRPr="009D265B" w:rsidRDefault="005B233D" w:rsidP="001E11A7">
      <w:pPr>
        <w:pStyle w:val="Heading1"/>
        <w:keepNext/>
        <w:keepLines/>
      </w:pPr>
      <w:r w:rsidRPr="009D265B">
        <w:lastRenderedPageBreak/>
        <w:t>Odnotowuje konkluzje Rady do Spraw Ogólnych z czerwca 201</w:t>
      </w:r>
      <w:r w:rsidR="001E11A7">
        <w:t>8 r., że negocjacje akcesyjne z </w:t>
      </w:r>
      <w:r w:rsidRPr="009D265B">
        <w:t>Turcją faktycznie utknęły w martwym punkcie i nie można rozważać otwarcia ani zamknięcia żadnych kolejnych rozdziałów negocjacyjnych; nie przewiduje się również kontynuacji prac nad modernizacją unii celnej UE–Turcja. Ubolewa, że Turcja nadal odmawia spełnienia postanowień protokołu dodatkowego do układu o stowarzyszeniu z UE i uznania Republiki Cypryjskiej. Ponadto ponownie wyraża w tym kontekście swoje wcześniejsze obawy i zalecenia w odniesieniu do Cypru, wyrażone szczegółowo w opinii w sprawie pakietu „rozszerzenie” 2018. Odnotowuje też z ubolewaniem, że Turcja kontynuuje operacje wiertnicze na cypryjskich wodach terytorialnych pomimo wielokrotnych wezwań ze strony Unii Europejskiej do zaprzestania nielegalnej działalności we wschodniej części Morza Śródziemnego. Komitet potwierdza swoją pełną solidarność z Cyprem w odniesieniu do międzynarodowego uznania, suwerenności i praw na mocy prawa międzynarodowego.</w:t>
      </w:r>
    </w:p>
    <w:p w14:paraId="59091337" w14:textId="77777777" w:rsidR="00033519" w:rsidRPr="009D265B" w:rsidRDefault="00033519" w:rsidP="00555485"/>
    <w:p w14:paraId="4C3308B6" w14:textId="26D8C24C" w:rsidR="00033519" w:rsidRPr="009D265B" w:rsidRDefault="00033519" w:rsidP="001B0588">
      <w:pPr>
        <w:pStyle w:val="Heading1"/>
      </w:pPr>
      <w:r w:rsidRPr="009D265B">
        <w:t>Przypomina znaczenie statusu Waroszy zgodnie z wcześniejszymi rezolucjami Rady Bezpieczeństwa Organizacji Narodów Zjednoczonych, w tym</w:t>
      </w:r>
      <w:r w:rsidR="001E11A7">
        <w:t xml:space="preserve"> rezolucją nr 550 (z 1984 r.) i </w:t>
      </w:r>
      <w:r w:rsidRPr="009D265B">
        <w:t>rezolucją nr 789 (z 1992 r.), i podkreśla ponownie, że nie należy prowadzić działań niezgodnych z tymi rezolucjami.</w:t>
      </w:r>
    </w:p>
    <w:p w14:paraId="5CE1FEE3" w14:textId="77777777" w:rsidR="00033519" w:rsidRPr="009D265B" w:rsidRDefault="00033519" w:rsidP="00555485"/>
    <w:p w14:paraId="64FC4352" w14:textId="36E8014A" w:rsidR="008B032F" w:rsidRPr="009D265B" w:rsidRDefault="008B032F" w:rsidP="00876AAF">
      <w:pPr>
        <w:pStyle w:val="Heading1"/>
      </w:pPr>
      <w:r w:rsidRPr="009D265B">
        <w:t>Jest poważnie zaniepokojony zgodnością z prawem i uczciwością tureckiego procesu wyborczego, w szczególności podjętą w 2019 r. decyzją Naj</w:t>
      </w:r>
      <w:r w:rsidR="001E11A7">
        <w:t>wyższej Rady Wyborczej Turcji o </w:t>
      </w:r>
      <w:r w:rsidRPr="009D265B">
        <w:t>ponownym przeprowadzeniu wyborów lokalnych w Stambule, a także decyzją władz tureckich o zastąpieniu demokratycznie wybranych burmist</w:t>
      </w:r>
      <w:r w:rsidR="001E11A7">
        <w:t>rzów miast Diyarbakır, Mardin i </w:t>
      </w:r>
      <w:r w:rsidRPr="009D265B">
        <w:t>Wan mianowanymi gubernatorami prowincjonalnymi pełniącymi obowiązki burmistrzów miast oraz stanowczo potępia dalsze akty represji wobec członków i pracowników rad miejskich, które to represje są sprzeczne z duchem i zasadami Europejskiej karty samorządu lokalnego.</w:t>
      </w:r>
    </w:p>
    <w:p w14:paraId="3CAFA078" w14:textId="77777777" w:rsidR="004E0DC0" w:rsidRPr="009D265B" w:rsidRDefault="004E0DC0" w:rsidP="00555485"/>
    <w:p w14:paraId="38ABE2DA" w14:textId="08EC8FFB" w:rsidR="008B032F" w:rsidRPr="009D265B" w:rsidRDefault="008B032F" w:rsidP="005B233D">
      <w:pPr>
        <w:pStyle w:val="Heading1"/>
      </w:pPr>
      <w:r w:rsidRPr="009D265B">
        <w:t>Uznaje, że Turcja pozostaje kluczowym partnerem UE w dzi</w:t>
      </w:r>
      <w:r w:rsidR="001E11A7">
        <w:t>edzinie migracji i uchodźców, i </w:t>
      </w:r>
      <w:r w:rsidRPr="009D265B">
        <w:t xml:space="preserve">ponownie wyraża przekonanie, że część środków przydzielonych przez UE powinna być przeznaczona dla władz lokalnych i regionalnych bezpośrednio zaangażowanych w zarządzanie przepływami migracyjnymi osób przesiedlonych i uchodźców. Umowa o readmisji między UE a Turcją powinna zostać całkowicie i skutecznie wdrożona w stosunku do wszystkich państw członkowskich, przy czym należy zauważyć, że zasadnicze </w:t>
      </w:r>
      <w:r w:rsidR="001E11A7">
        <w:t>znaczenie ma nadal współpraca w </w:t>
      </w:r>
      <w:r w:rsidRPr="009D265B">
        <w:t>dziedzinie wymiaru sprawiedliwości i spraw wewnętrznych ze wszystkimi państwami członkowskimi UE.</w:t>
      </w:r>
    </w:p>
    <w:p w14:paraId="352A9512" w14:textId="77777777" w:rsidR="004E0DC0" w:rsidRPr="009D265B" w:rsidRDefault="004E0DC0" w:rsidP="00555485"/>
    <w:p w14:paraId="3DA59F24" w14:textId="77777777" w:rsidR="008B032F" w:rsidRPr="009D265B" w:rsidRDefault="008B032F" w:rsidP="00555485">
      <w:pPr>
        <w:pStyle w:val="Heading1"/>
      </w:pPr>
      <w:r w:rsidRPr="009D265B">
        <w:t>Zachęca władze lokalne i regionalne w UE do dalszego zacieśniania współpracy z ich odpowiednikami w krajach kandydujących i potencjalnych krajach kandydujących, do ich wspierania w dążeniu do pogłębionej integracji europejskiej oraz rozwijania ich zdolności instytucjonalnych i administracyjnych na szczeblu regionalnym i lokalnym, a także ich zdolności do propagowania i respektowania europejskich wartości i zasad.</w:t>
      </w:r>
    </w:p>
    <w:p w14:paraId="15D70C7C" w14:textId="77777777" w:rsidR="004E0DC0" w:rsidRPr="009D265B" w:rsidRDefault="004E0DC0" w:rsidP="00555485"/>
    <w:p w14:paraId="7606B3CE" w14:textId="77777777" w:rsidR="008B032F" w:rsidRPr="009D265B" w:rsidRDefault="008B032F" w:rsidP="00555485">
      <w:pPr>
        <w:pStyle w:val="Heading1"/>
      </w:pPr>
      <w:r w:rsidRPr="009D265B">
        <w:t xml:space="preserve">Przypomina w związku z tym o niezastąpionej roli krajowych stowarzyszeń samorządów lokalnych i regionalnych, a także Sieci Stowarzyszeń Samorządów Lokalnych Europy Południowo-Wschodniej (NALAS), która może wspierać władze lokalne i regionalne we </w:t>
      </w:r>
      <w:r w:rsidRPr="009D265B">
        <w:lastRenderedPageBreak/>
        <w:t>wdrażaniu reform administracji publicznej, a także w budowaniu ich zdolności do lepszego korzystania z uprawnień oraz świadczenia lokalnych usług publicznych.</w:t>
      </w:r>
    </w:p>
    <w:p w14:paraId="7A2CDFF7" w14:textId="77777777" w:rsidR="004E0DC0" w:rsidRPr="009D265B" w:rsidRDefault="004E0DC0" w:rsidP="00555485"/>
    <w:p w14:paraId="269909EF" w14:textId="77777777" w:rsidR="008B032F" w:rsidRPr="009D265B" w:rsidRDefault="008B032F" w:rsidP="00555485">
      <w:pPr>
        <w:keepNext/>
        <w:rPr>
          <w:b/>
          <w:szCs w:val="20"/>
        </w:rPr>
      </w:pPr>
      <w:r w:rsidRPr="009D265B">
        <w:rPr>
          <w:b/>
        </w:rPr>
        <w:t>Rola władz lokalnych i regionalnych w procesie rozszerzenia</w:t>
      </w:r>
    </w:p>
    <w:p w14:paraId="581ECB66" w14:textId="77777777" w:rsidR="004E0DC0" w:rsidRPr="009D265B" w:rsidRDefault="004E0DC0" w:rsidP="00555485">
      <w:pPr>
        <w:keepNext/>
      </w:pPr>
    </w:p>
    <w:p w14:paraId="306DDD06" w14:textId="77777777" w:rsidR="008B032F" w:rsidRPr="009D265B" w:rsidRDefault="008B032F" w:rsidP="00555485">
      <w:pPr>
        <w:pStyle w:val="Heading1"/>
      </w:pPr>
      <w:r w:rsidRPr="009D265B">
        <w:t>Podkreśla, że europejskie zasady pomocniczości, proporcjonalności i wielopoziomowego sprawowania rządów powinny mieć również zastosowanie do procesu rozszerzenia Unii Europejskiej.</w:t>
      </w:r>
    </w:p>
    <w:p w14:paraId="01C50846" w14:textId="77777777" w:rsidR="004E0DC0" w:rsidRPr="009D265B" w:rsidRDefault="004E0DC0" w:rsidP="00555485"/>
    <w:p w14:paraId="7EDB17C7" w14:textId="0DE1184D" w:rsidR="008B032F" w:rsidRPr="009D265B" w:rsidRDefault="008B032F" w:rsidP="00555485">
      <w:pPr>
        <w:pStyle w:val="Heading1"/>
      </w:pPr>
      <w:r w:rsidRPr="009D265B">
        <w:t>Stwierdza, że aby proces rozszerzenia miał charakter integracyjny i zrównoważony, niezbędne jest uczestnictwo władz szczebla niższego niż krajowy. Powodzenie rozszerzenia UE na Bałkany Zachodnie będzie zależało od nieustannego poparcia obywateli i zaangażowania władz lokalnych i regionalnych w celu osiągnięcia pożądanego trwałego wpływu na szczeblu lokalnym w ramach wspólnego partnerstwa władz lokalnych</w:t>
      </w:r>
      <w:r w:rsidR="001E11A7">
        <w:t>, regionalnych i centralnych, a </w:t>
      </w:r>
      <w:r w:rsidRPr="009D265B">
        <w:t>także partnerstwa z Unią Europejską.</w:t>
      </w:r>
    </w:p>
    <w:p w14:paraId="362C2FE5" w14:textId="77777777" w:rsidR="004E0DC0" w:rsidRPr="009D265B" w:rsidRDefault="004E0DC0" w:rsidP="00555485"/>
    <w:p w14:paraId="583645AC" w14:textId="77777777" w:rsidR="008B032F" w:rsidRPr="009D265B" w:rsidRDefault="008B032F" w:rsidP="00555485">
      <w:pPr>
        <w:pStyle w:val="Heading1"/>
      </w:pPr>
      <w:r w:rsidRPr="009D265B">
        <w:t>Przypomina, że ponad 60 % unijnego dorobku prawnego jest wdrażane na szczeblu lokalnym, podczas gdy – zgodnie z obecnymi wieloletnimi ramami finansowymi – prawie jedna trzecia całkowitego budżetu UE jest przeznaczona na politykę spójności skierowaną do wszystkich regionów i miast w Unii Europejskiej.</w:t>
      </w:r>
    </w:p>
    <w:p w14:paraId="351BBD63" w14:textId="77777777" w:rsidR="004E0DC0" w:rsidRPr="009D265B" w:rsidRDefault="004E0DC0" w:rsidP="00555485"/>
    <w:p w14:paraId="043D5A02" w14:textId="77777777" w:rsidR="008B032F" w:rsidRPr="009D265B" w:rsidRDefault="008B032F" w:rsidP="00555485">
      <w:pPr>
        <w:pStyle w:val="Heading1"/>
      </w:pPr>
      <w:r w:rsidRPr="009D265B">
        <w:t>Podkreśla, że władze lokalne i regionalne mają do odegrania ważną rolę w procesie rozszerzenia, nie tylko w odniesieniu do kryteriów politycznych, ale także jako siła napędowa wzrostu gospodarczego i zrównoważonego rozwoju na swoim terytorium oraz jako dostawcy wysokiej jakości usług publicznych dla swoich obywateli.</w:t>
      </w:r>
    </w:p>
    <w:p w14:paraId="40B2A670" w14:textId="77777777" w:rsidR="004E0DC0" w:rsidRPr="009D265B" w:rsidRDefault="004E0DC0" w:rsidP="00555485"/>
    <w:p w14:paraId="20A7FADE" w14:textId="70241A4A" w:rsidR="008B032F" w:rsidRPr="009D265B" w:rsidRDefault="008B032F" w:rsidP="00555485">
      <w:pPr>
        <w:pStyle w:val="Heading1"/>
      </w:pPr>
      <w:r w:rsidRPr="009D265B">
        <w:t xml:space="preserve">Stwierdza w tym kontekście, że wzmocnienie pozycji władz </w:t>
      </w:r>
      <w:r w:rsidR="001E11A7">
        <w:t>szczebla niższego niż krajowy w </w:t>
      </w:r>
      <w:r w:rsidRPr="009D265B">
        <w:t>wypełnianiu tej roli jest kluczowym elementem zrównoważonej realizacji strategii rozszerzenia UE dla Bałkanów Zachodnich oraz pomy</w:t>
      </w:r>
      <w:r w:rsidR="001E11A7">
        <w:t>ślnej integracji europejskiej w </w:t>
      </w:r>
      <w:r w:rsidRPr="009D265B">
        <w:t>przyszłości.</w:t>
      </w:r>
    </w:p>
    <w:p w14:paraId="674FEADE" w14:textId="77777777" w:rsidR="004E0DC0" w:rsidRPr="009D265B" w:rsidRDefault="004E0DC0" w:rsidP="00555485"/>
    <w:p w14:paraId="7FF226C7" w14:textId="77777777" w:rsidR="008B032F" w:rsidRPr="009D265B" w:rsidRDefault="008B032F" w:rsidP="00555485">
      <w:pPr>
        <w:pStyle w:val="Heading1"/>
      </w:pPr>
      <w:r w:rsidRPr="009D265B">
        <w:t>Z zadowoleniem przyjmuje uznanie przez Komisję Europejską konieczności uwzględnienia roli władz lokalnych i regionalnych oraz znalezienia właściwej równowagi między rządem centralnym, regionalnym i lokalnym, która najlepiej służy wdrażaniu reform i świadczeniu usług na rzecz obywateli.</w:t>
      </w:r>
    </w:p>
    <w:p w14:paraId="07C6A239" w14:textId="77777777" w:rsidR="004E0DC0" w:rsidRPr="009D265B" w:rsidRDefault="004E0DC0" w:rsidP="00555485"/>
    <w:p w14:paraId="6A4A16FB" w14:textId="77777777" w:rsidR="008B032F" w:rsidRPr="009D265B" w:rsidRDefault="008B032F" w:rsidP="00555485">
      <w:pPr>
        <w:pStyle w:val="Heading1"/>
      </w:pPr>
      <w:r w:rsidRPr="009D265B">
        <w:t>Przypomina swój żal, wyrażony w opinii w sprawie pakietu „rozszerzenie” 2018 r., z powodu braku konkretnych propozycji politycznych dotyczących samorządów lokalnych i regionalnych.</w:t>
      </w:r>
    </w:p>
    <w:p w14:paraId="376096D1" w14:textId="77777777" w:rsidR="004E0DC0" w:rsidRPr="009D265B" w:rsidRDefault="004E0DC0" w:rsidP="00555485"/>
    <w:p w14:paraId="0F869E87" w14:textId="1C2CA0C5" w:rsidR="008B032F" w:rsidRPr="009D265B" w:rsidRDefault="008B032F" w:rsidP="00555485">
      <w:pPr>
        <w:pStyle w:val="Heading1"/>
      </w:pPr>
      <w:r w:rsidRPr="009D265B">
        <w:t>Zachęca Komisję Europejską do zaproponowania konkretnych str</w:t>
      </w:r>
      <w:r w:rsidR="001E11A7">
        <w:t>ategii politycznych, narzędzi i </w:t>
      </w:r>
      <w:r w:rsidRPr="009D265B">
        <w:t>instrumentów w celu zaangażowania władz lokalnych i regionalnych na Bałkanach Zachodnich w celu wzmocnienia ich roli jako sfery sprawowania rządów znajdującej się najbliżej obywateli.</w:t>
      </w:r>
    </w:p>
    <w:p w14:paraId="3A7C6946" w14:textId="77777777" w:rsidR="008B032F" w:rsidRPr="009D265B" w:rsidRDefault="008B032F" w:rsidP="009D265B"/>
    <w:p w14:paraId="51DF802A" w14:textId="60DB760A" w:rsidR="004E0DC0" w:rsidRPr="009D265B" w:rsidRDefault="0094101A" w:rsidP="001E11A7">
      <w:pPr>
        <w:pStyle w:val="Heading1"/>
        <w:keepNext/>
        <w:keepLines/>
      </w:pPr>
      <w:r w:rsidRPr="009D265B">
        <w:lastRenderedPageBreak/>
        <w:t>Zachęca Komisję Europejską do opracowania praktycznego narzędzia wspierającego skuteczne budowanie zdolności dla samorządów lokalnych i regionalnych n</w:t>
      </w:r>
      <w:r w:rsidR="001E11A7">
        <w:t>a Bałkanach Zachodnich w </w:t>
      </w:r>
      <w:r w:rsidRPr="009D265B">
        <w:t>celu zharmonizowania ich lokalnej i regionalnej polityki publicznej z dorobkiem prawnym UE, poprzez specjalne szkolenia, wzajemne uczenie się i wymianę najlepszych praktyk w całym regionie z ich odpowiednikami w UE na wzór Instrumentu na rzecz Administracji Lokalnej, regionalnego programu szkoleniowego czy też programu Erasmus dla przedstawicieli samorządów lokalnych i regionalnych.</w:t>
      </w:r>
    </w:p>
    <w:p w14:paraId="0644AE04" w14:textId="77777777" w:rsidR="00C5746C" w:rsidRPr="009D265B" w:rsidRDefault="00C5746C" w:rsidP="009D265B"/>
    <w:p w14:paraId="13D4925E" w14:textId="77777777" w:rsidR="00DB44C4" w:rsidRPr="009D265B" w:rsidRDefault="0094101A" w:rsidP="00F8719D">
      <w:pPr>
        <w:pStyle w:val="Heading1"/>
      </w:pPr>
      <w:r w:rsidRPr="009D265B">
        <w:t>Ponownie wzywa Komisję do rozszerzenia inicjatywy wsparcia ulepszeń w zakresie ładu administracyjno-regulacyjnego i zarządzania (SIGMA) na szczebel administracji niższy od krajowego w krajach kandydujących i potencjalnych krajach kandydujących w celu opracowania zdecentralizowanych modeli reformy administracji publicznej oraz poprawy lokalnego sprawowania rządów i lokalnego zarządzania publicznego z myślą o zastosowaniu dorobku prawnego UE.</w:t>
      </w:r>
    </w:p>
    <w:p w14:paraId="5CFFDB7D" w14:textId="77777777" w:rsidR="00C5746C" w:rsidRPr="009D265B" w:rsidRDefault="00C5746C" w:rsidP="009D265B"/>
    <w:p w14:paraId="5E944537" w14:textId="77777777" w:rsidR="00DB44C4" w:rsidRPr="009D265B" w:rsidRDefault="0094101A" w:rsidP="00F8719D">
      <w:pPr>
        <w:pStyle w:val="Heading1"/>
      </w:pPr>
      <w:r w:rsidRPr="009D265B">
        <w:t>Wzywa ponownie Komisję Europejską do opracowania metod operacyjnych ad hoc umożliwiających zastosowanie instrumentów TAIEX i współpracy partnerskiej do współpracy między samorządami lokalnymi i regionalnymi w państwach członkowskich oraz krajach kandydujących i potencjalnych krajach kandydujących.</w:t>
      </w:r>
    </w:p>
    <w:p w14:paraId="79304404" w14:textId="77777777" w:rsidR="00DB44C4" w:rsidRPr="009D265B" w:rsidRDefault="00DB44C4" w:rsidP="00555485"/>
    <w:p w14:paraId="4BAE4304" w14:textId="6C079BFC" w:rsidR="008B032F" w:rsidRPr="009D265B" w:rsidRDefault="008B032F" w:rsidP="00555485">
      <w:pPr>
        <w:pStyle w:val="Heading1"/>
      </w:pPr>
      <w:r w:rsidRPr="009D265B">
        <w:t>Wyraża gotowość do ścisłej współpracy z nową Komisj</w:t>
      </w:r>
      <w:r w:rsidR="001E11A7">
        <w:t>ą Europejską, w szczególności z </w:t>
      </w:r>
      <w:r w:rsidRPr="009D265B">
        <w:t>komisarzem ds. sąsiedztwa i rozszerzenia w dziedzinie praktycznego wdrażania i stosowania tych instrumentów na szczeblu lokalnym i regionalnym.</w:t>
      </w:r>
    </w:p>
    <w:p w14:paraId="774DCA24" w14:textId="77777777" w:rsidR="004E0DC0" w:rsidRPr="009D265B" w:rsidRDefault="004E0DC0" w:rsidP="00555485"/>
    <w:p w14:paraId="7E50B12C" w14:textId="77777777" w:rsidR="008B032F" w:rsidRPr="009D265B" w:rsidRDefault="008B032F" w:rsidP="00555485">
      <w:pPr>
        <w:keepNext/>
        <w:rPr>
          <w:b/>
          <w:szCs w:val="20"/>
        </w:rPr>
      </w:pPr>
      <w:r w:rsidRPr="009D265B">
        <w:rPr>
          <w:b/>
        </w:rPr>
        <w:t>Praworządność i prawa podstawowe</w:t>
      </w:r>
    </w:p>
    <w:p w14:paraId="78A9ECFA" w14:textId="77777777" w:rsidR="004E0DC0" w:rsidRPr="009D265B" w:rsidRDefault="004E0DC0" w:rsidP="00555485">
      <w:pPr>
        <w:keepNext/>
      </w:pPr>
    </w:p>
    <w:p w14:paraId="29F526BC" w14:textId="4F7B4D04" w:rsidR="008B032F" w:rsidRPr="009D265B" w:rsidRDefault="008B032F">
      <w:pPr>
        <w:pStyle w:val="Heading1"/>
      </w:pPr>
      <w:r w:rsidRPr="009D265B">
        <w:t>Ponownie podkreśla, że zgodność z kryteriami kopenhaskimi musi pozostać kluczowym czynnikiem oceny gotowości krajów kandydujących do członkostwa w UE i w pełni popiera zasadę wypełnienia sprawiedliwych i rygorystycznyc</w:t>
      </w:r>
      <w:r w:rsidR="001E11A7">
        <w:t>h warunków oraz skupienie się w </w:t>
      </w:r>
      <w:r w:rsidRPr="009D265B">
        <w:t>pierwszej kolejności na kwestiach podstawowych.</w:t>
      </w:r>
    </w:p>
    <w:p w14:paraId="3CDBD423" w14:textId="77777777" w:rsidR="004E0DC0" w:rsidRPr="009D265B" w:rsidRDefault="004E0DC0" w:rsidP="00555485"/>
    <w:p w14:paraId="58661463" w14:textId="77777777" w:rsidR="008B032F" w:rsidRPr="009D265B" w:rsidRDefault="008B032F" w:rsidP="00555485">
      <w:pPr>
        <w:pStyle w:val="Heading1"/>
      </w:pPr>
      <w:r w:rsidRPr="009D265B">
        <w:t>Zauważa z dużym zaniepokojeniem, że właściwe funkcjonowanie instytucji demokratycznych, a także wiarygodne postępy w dziedzinie praworządności wciąż pozostają głównym wyzwaniem w większości krajów kandydujących i potencjalnych krajów kandydujących.</w:t>
      </w:r>
    </w:p>
    <w:p w14:paraId="5F28F35A" w14:textId="77777777" w:rsidR="004E0DC0" w:rsidRPr="009D265B" w:rsidRDefault="004E0DC0" w:rsidP="00555485"/>
    <w:p w14:paraId="410CB849" w14:textId="77777777" w:rsidR="008B032F" w:rsidRPr="009D265B" w:rsidRDefault="008B032F" w:rsidP="00555485">
      <w:pPr>
        <w:pStyle w:val="Heading1"/>
      </w:pPr>
      <w:r w:rsidRPr="009D265B">
        <w:t>W tym kontekście jest również zaniepokojony coraz bardziej wrogim otoczeniem dla społeczeństwa obywatelskiego w tych krajach, a także negatywnymi zmianami w obszarze wolności słowa i niezależności mediów.</w:t>
      </w:r>
    </w:p>
    <w:p w14:paraId="20069446" w14:textId="77777777" w:rsidR="004E0DC0" w:rsidRPr="009D265B" w:rsidRDefault="004E0DC0" w:rsidP="00555485"/>
    <w:p w14:paraId="37730D68" w14:textId="77777777" w:rsidR="008B032F" w:rsidRPr="009D265B" w:rsidRDefault="008B032F" w:rsidP="00555485">
      <w:pPr>
        <w:pStyle w:val="Heading1"/>
      </w:pPr>
      <w:r w:rsidRPr="009D265B">
        <w:t>Podkreśla, że ze względu na swój bliski kontakt z obywatelami władze lokalne i regionalne odgrywają kluczową rolę w propagowaniu i respektowaniu wartości europejskich oraz że znajdują się na pierwszej linii walki z rasizmem i mową nienawiści, chroniąc słabsze grupy społeczne i mniejszości, a także wspierając spójność społeczną.</w:t>
      </w:r>
    </w:p>
    <w:p w14:paraId="53D62FAA" w14:textId="77777777" w:rsidR="004E0DC0" w:rsidRPr="009D265B" w:rsidRDefault="004E0DC0" w:rsidP="00555485"/>
    <w:p w14:paraId="5AEF6147" w14:textId="5C8F8FB6" w:rsidR="008B032F" w:rsidRPr="009D265B" w:rsidRDefault="008B032F" w:rsidP="001E11A7">
      <w:pPr>
        <w:pStyle w:val="Heading1"/>
        <w:keepNext/>
        <w:keepLines/>
      </w:pPr>
      <w:r w:rsidRPr="009D265B">
        <w:lastRenderedPageBreak/>
        <w:t>Jest głęboko przekonany, że samorządy lokalne i regionalne same mogą odgrywać większą rolę w tworzeniu lokalnej sceny politycznej i publicznej przestrzeni politycznej i mogą przyjąć na siebie część odpowiedzialności za eliminację niektórych brakó</w:t>
      </w:r>
      <w:r w:rsidR="001E11A7">
        <w:t>w w dziedzinie praworządności i </w:t>
      </w:r>
      <w:r w:rsidRPr="009D265B">
        <w:t>praw podstawowych, jak podkreśliła Komisja Europejska.</w:t>
      </w:r>
    </w:p>
    <w:p w14:paraId="2C73B670" w14:textId="77777777" w:rsidR="004E0DC0" w:rsidRPr="009D265B" w:rsidRDefault="004E0DC0" w:rsidP="00555485"/>
    <w:p w14:paraId="6E2AB1C3" w14:textId="64AE8F06" w:rsidR="008B032F" w:rsidRPr="009D265B" w:rsidRDefault="008B032F" w:rsidP="00555485">
      <w:pPr>
        <w:pStyle w:val="Heading1"/>
      </w:pPr>
      <w:r w:rsidRPr="009D265B">
        <w:t>Wzywa władze lokalne i regionalne w krajach kandydujących i potencjalnych krajach kandydujących do zwiększenia wysiłków na rzecz osią</w:t>
      </w:r>
      <w:r w:rsidR="001E11A7">
        <w:t>gnięcia wymiernych rezultatów w </w:t>
      </w:r>
      <w:r w:rsidRPr="009D265B">
        <w:t>następujących dziedzinach:</w:t>
      </w:r>
    </w:p>
    <w:p w14:paraId="76F28630" w14:textId="77777777" w:rsidR="004E0DC0" w:rsidRPr="009D265B" w:rsidRDefault="004E0DC0" w:rsidP="001B0588"/>
    <w:p w14:paraId="5112E57C" w14:textId="77777777" w:rsidR="008B032F" w:rsidRPr="009D265B" w:rsidRDefault="008B032F">
      <w:pPr>
        <w:pStyle w:val="Heading2"/>
      </w:pPr>
      <w:r w:rsidRPr="009D265B">
        <w:t>tworzenie korzystnych i sprzyjających warunków funkcjonowania społeczeństwa obywatelskiego na szczeblu lokalnym oraz włączenie organizacji społeczeństwa obywatelskiego w proces kształtowania polityki na szczeblu lokalnym,</w:t>
      </w:r>
    </w:p>
    <w:p w14:paraId="5CFA9E3C" w14:textId="77777777" w:rsidR="00833949" w:rsidRPr="009D265B" w:rsidRDefault="00833949" w:rsidP="00555485"/>
    <w:p w14:paraId="15955BFC" w14:textId="77777777" w:rsidR="008B032F" w:rsidRPr="009D265B" w:rsidRDefault="008B032F" w:rsidP="0094101A">
      <w:pPr>
        <w:pStyle w:val="Heading2"/>
      </w:pPr>
      <w:r w:rsidRPr="009D265B">
        <w:t>przeciwdziałanie dyskryminacji z jakiegokolwiek powodu, w duchu Karty praw podstawowych Unii Europejskiej, zwłaszcza wobec osób z niepełnosprawnościami, słabszych grup społecznych i mniejszości etnicznych, w szczególności Romów,</w:t>
      </w:r>
    </w:p>
    <w:p w14:paraId="1DF69383" w14:textId="77777777" w:rsidR="00833949" w:rsidRPr="009D265B" w:rsidRDefault="00833949" w:rsidP="00555485"/>
    <w:p w14:paraId="1785CE93" w14:textId="77777777" w:rsidR="008B032F" w:rsidRPr="009D265B" w:rsidRDefault="008B032F" w:rsidP="00555485">
      <w:pPr>
        <w:pStyle w:val="Heading2"/>
      </w:pPr>
      <w:r w:rsidRPr="009D265B">
        <w:t>zwalczanie wykluczenia, marginalizacji i dyskryminacji lesbijek, gejów, osób biseksualnych, transpłciowych i interseksualnych, a także zwalczanie nawoływania do nienawiści i przemocy wobec tych grup,</w:t>
      </w:r>
    </w:p>
    <w:p w14:paraId="2F15E00F" w14:textId="77777777" w:rsidR="00033519" w:rsidRPr="009D265B" w:rsidRDefault="00033519" w:rsidP="00555485"/>
    <w:p w14:paraId="75416175" w14:textId="77777777" w:rsidR="008B032F" w:rsidRPr="009D265B" w:rsidRDefault="0094101A" w:rsidP="00555485">
      <w:pPr>
        <w:pStyle w:val="Heading2"/>
      </w:pPr>
      <w:r w:rsidRPr="009D265B">
        <w:t>poprawa reprezentacji kobiet we wszystkich sferach lokalnego i regionalnego zarządzania publicznego i ogólnie zapewnienie równouprawnienia płci, a także zapobieganie dyskryminacji i wszelkich form przemocy wobec kobiet oraz walka z tym zjawiskiem.</w:t>
      </w:r>
    </w:p>
    <w:p w14:paraId="6844C6AE" w14:textId="77777777" w:rsidR="004E0DC0" w:rsidRPr="009D265B" w:rsidRDefault="004E0DC0" w:rsidP="00555485"/>
    <w:p w14:paraId="3186E0BF" w14:textId="68A0A846" w:rsidR="00063D0B" w:rsidRPr="009D265B" w:rsidRDefault="008B032F" w:rsidP="00555485">
      <w:pPr>
        <w:pStyle w:val="Heading1"/>
      </w:pPr>
      <w:r w:rsidRPr="009D265B">
        <w:t>Zwraca się do Komisji Europejskiej o uznanie roli w</w:t>
      </w:r>
      <w:r w:rsidR="001E11A7">
        <w:t>ładz lokalnych i regionalnych w </w:t>
      </w:r>
      <w:r w:rsidRPr="009D265B">
        <w:t>rozwiązywaniu podstawowych problemów na szczeblu lokalnym, o ułatwianie budowania ich zdolności i umiejętności w dziedzinie praworządności i praw podstawowych oraz o wspieranie ich poprzez dostarczanie konkretnych narzędzi i instrumentów w celu wypełnienia tej roli.</w:t>
      </w:r>
    </w:p>
    <w:p w14:paraId="1E68C991" w14:textId="77777777" w:rsidR="004E0DC0" w:rsidRPr="009D265B" w:rsidRDefault="004E0DC0" w:rsidP="00555485"/>
    <w:p w14:paraId="350992C6" w14:textId="77777777" w:rsidR="008B032F" w:rsidRPr="009D265B" w:rsidRDefault="008B032F" w:rsidP="00555485">
      <w:pPr>
        <w:keepNext/>
        <w:rPr>
          <w:b/>
          <w:szCs w:val="20"/>
        </w:rPr>
      </w:pPr>
      <w:r w:rsidRPr="009D265B">
        <w:rPr>
          <w:b/>
        </w:rPr>
        <w:t>Rola władz lokalnych i regionalnych w programie działań na rzecz zrównoważonego rozwoju do roku 2030</w:t>
      </w:r>
    </w:p>
    <w:p w14:paraId="4B507A44" w14:textId="77777777" w:rsidR="004E0DC0" w:rsidRPr="009D265B" w:rsidRDefault="004E0DC0" w:rsidP="00555485">
      <w:pPr>
        <w:keepNext/>
      </w:pPr>
    </w:p>
    <w:p w14:paraId="696F4F5A" w14:textId="58A0152E" w:rsidR="008B032F" w:rsidRPr="009D265B" w:rsidRDefault="008B032F" w:rsidP="00555485">
      <w:pPr>
        <w:pStyle w:val="Heading1"/>
      </w:pPr>
      <w:r w:rsidRPr="009D265B">
        <w:t>Przypomina swoją niedawną opinię w sprawie celów zrównoważonego rozwoju jako podstawy długoterminowej strategii UE na rzecz zrównoważonej Europy do 2030 r., w której podkreślono, że realizacja 65 % z 169 zadań wyznaczonych w ramach 17 celów zrównoważonego rozwoju wymaga zdecydowanego z</w:t>
      </w:r>
      <w:r w:rsidR="001E11A7">
        <w:t>aangażowania regionów i miast w </w:t>
      </w:r>
      <w:r w:rsidRPr="009D265B">
        <w:t>osiąganie celów zrównoważonego rozwoju.</w:t>
      </w:r>
    </w:p>
    <w:p w14:paraId="6E4428ED" w14:textId="77777777" w:rsidR="004E0DC0" w:rsidRPr="009D265B" w:rsidRDefault="004E0DC0" w:rsidP="00555485"/>
    <w:p w14:paraId="47E30841" w14:textId="77777777" w:rsidR="008B032F" w:rsidRPr="009D265B" w:rsidRDefault="008B032F" w:rsidP="00555485">
      <w:pPr>
        <w:pStyle w:val="Heading1"/>
      </w:pPr>
      <w:r w:rsidRPr="009D265B">
        <w:t>Przypomina, że cel, jakim jest niepozostawienie nikogo w tyle, wymaga zapewnienia przez wszystkie szczeble sprawowania rządów przekrojowej integracji oraz opracowania wzajemnie wspierających się i spójnych strategii politycznych ukierunkowanych na konkretny obszar.</w:t>
      </w:r>
    </w:p>
    <w:p w14:paraId="6BC07EB3" w14:textId="77777777" w:rsidR="004E0DC0" w:rsidRPr="009D265B" w:rsidRDefault="004E0DC0" w:rsidP="00555485"/>
    <w:p w14:paraId="52C9981B" w14:textId="143E219F" w:rsidR="008B032F" w:rsidRPr="009D265B" w:rsidRDefault="008B032F" w:rsidP="00555485">
      <w:pPr>
        <w:pStyle w:val="Heading1"/>
      </w:pPr>
      <w:r w:rsidRPr="009D265B">
        <w:t>Przypomina również, że władze lokalne i regionalne ma</w:t>
      </w:r>
      <w:r w:rsidR="001E11A7">
        <w:t>ją do odegrania kluczową rolę w </w:t>
      </w:r>
      <w:r w:rsidRPr="009D265B">
        <w:t>realizacji celów określonych w porozumieniu klimatycznym z Paryża oraz że działani</w:t>
      </w:r>
      <w:r w:rsidR="001E11A7">
        <w:t>a w </w:t>
      </w:r>
      <w:r w:rsidRPr="009D265B">
        <w:t xml:space="preserve">dziedzinie klimatu na szczeblu lokalnym mają kluczowe znaczenie dla łagodzenia zmiany </w:t>
      </w:r>
      <w:r w:rsidRPr="009D265B">
        <w:lastRenderedPageBreak/>
        <w:t>klimatu i przystosowywania się do niej, a także dla tworzenia lokalnych możliwości dla zrównoważonych inwestycji i wzrostu gospodarczego.</w:t>
      </w:r>
    </w:p>
    <w:p w14:paraId="1ADD200C" w14:textId="77777777" w:rsidR="004E0DC0" w:rsidRPr="009D265B" w:rsidRDefault="004E0DC0" w:rsidP="00555485"/>
    <w:p w14:paraId="302336D7" w14:textId="77777777" w:rsidR="008B032F" w:rsidRPr="009D265B" w:rsidRDefault="008B032F" w:rsidP="0094101A">
      <w:pPr>
        <w:pStyle w:val="Heading1"/>
      </w:pPr>
      <w:r w:rsidRPr="009D265B">
        <w:t>Jest w związku z tym przekonany, że Porozumienie Burmistrzów w sprawie Klimatu i Energii, jako ruch oddolny, może być dla miast i gmin w krajach Bałkanów Zachodnich czynnikiem ułatwiającym im udział w realizacji porozumienia paryskiego, programu działań na rzecz zrównoważonego rozwoju do 2030 r. i celów zrównoważonego rozwoju dzięki dostosowaniu do lokalnych uwarunkowań.</w:t>
      </w:r>
    </w:p>
    <w:p w14:paraId="3500E702" w14:textId="77777777" w:rsidR="00033519" w:rsidRPr="009D265B" w:rsidRDefault="00033519" w:rsidP="00555485"/>
    <w:p w14:paraId="7EAAF83C" w14:textId="06C89946" w:rsidR="008B032F" w:rsidRPr="009D265B" w:rsidRDefault="008B032F" w:rsidP="00033519">
      <w:pPr>
        <w:pStyle w:val="Heading1"/>
      </w:pPr>
      <w:r w:rsidRPr="009D265B">
        <w:t>Wzywa Komisję Europejską do lepszego włączenia krajów Bałkanów Zachodnich, a zwłaszcza ich władz lokalnych i regionalnych, w przyszły rozwój Porozumienia Burmistrzów w sprawie Klimatu i Energii lub w odpowiednie inicjatywy krajowe i regionalne wiążące się z podjęciem zobowiązań na szczeblu lokalnym i regionalnym a także do wykorzystania potencjału krajowych stowarzyszeń władz lokalnych i regionalnych oraz Sieci Stowarzyszeń Samorządów Lokalnych Europy Południowo-Wschodniej (NALAS) w zakresie określania i wdrażania lokalnych planów działania w dziedzinie klimatu i efektywności energetycznej, planów zrównoważonej mobilności miejskiej oraz innych lokalnych i regionalnych instrumentów politycznych służących realizacji programu działań na rzecz zrówno</w:t>
      </w:r>
      <w:r w:rsidR="001E11A7">
        <w:t>ważonego rozwoju do 2030 </w:t>
      </w:r>
      <w:r w:rsidRPr="009D265B">
        <w:t>r.</w:t>
      </w:r>
    </w:p>
    <w:p w14:paraId="00022510" w14:textId="77777777" w:rsidR="003A043C" w:rsidRPr="009D265B" w:rsidRDefault="003A043C"/>
    <w:p w14:paraId="3FB5AE24" w14:textId="77777777" w:rsidR="006D61F8" w:rsidRPr="009D265B" w:rsidRDefault="006D61F8"/>
    <w:p w14:paraId="37E65F0A" w14:textId="77777777" w:rsidR="006D61F8" w:rsidRPr="009D265B" w:rsidRDefault="006D61F8" w:rsidP="001B0588">
      <w:pPr>
        <w:pStyle w:val="Normal0"/>
        <w:keepNext/>
        <w:suppressAutoHyphens/>
      </w:pPr>
      <w:r w:rsidRPr="009D265B">
        <w:t>Bruksela, dnia 12 lutego 2020 r.</w:t>
      </w:r>
    </w:p>
    <w:p w14:paraId="1BD8D2CF" w14:textId="77777777" w:rsidR="006D61F8" w:rsidRPr="009D265B" w:rsidRDefault="006D61F8" w:rsidP="009D265B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6D61F8" w:rsidRPr="009D265B" w14:paraId="07EEA7CF" w14:textId="77777777" w:rsidTr="001B0588">
        <w:trPr>
          <w:cantSplit/>
        </w:trPr>
        <w:tc>
          <w:tcPr>
            <w:tcW w:w="4644" w:type="dxa"/>
          </w:tcPr>
          <w:p w14:paraId="681C104F" w14:textId="77777777" w:rsidR="006D61F8" w:rsidRPr="009D265B" w:rsidRDefault="006D61F8" w:rsidP="001B0588">
            <w:pPr>
              <w:keepNext/>
              <w:jc w:val="center"/>
            </w:pPr>
            <w:r w:rsidRPr="009D265B">
              <w:t>Przewodniczący</w:t>
            </w:r>
            <w:r w:rsidRPr="009D265B">
              <w:br/>
              <w:t>Europejskiego Komitetu Regionów</w:t>
            </w:r>
            <w:r w:rsidRPr="009D265B">
              <w:br/>
            </w:r>
            <w:r w:rsidRPr="009D265B">
              <w:br/>
            </w:r>
            <w:r w:rsidRPr="009D265B">
              <w:br/>
            </w:r>
            <w:r w:rsidRPr="009D265B">
              <w:br/>
            </w:r>
            <w:r w:rsidRPr="009D265B">
              <w:br/>
              <w:t>Apostolos TZITZIKOSTAS</w:t>
            </w:r>
          </w:p>
        </w:tc>
        <w:tc>
          <w:tcPr>
            <w:tcW w:w="4645" w:type="dxa"/>
          </w:tcPr>
          <w:p w14:paraId="17AAA0FC" w14:textId="77777777" w:rsidR="006D61F8" w:rsidRPr="009D265B" w:rsidRDefault="006D61F8" w:rsidP="001B0588">
            <w:pPr>
              <w:keepNext/>
            </w:pPr>
          </w:p>
        </w:tc>
      </w:tr>
      <w:tr w:rsidR="006D61F8" w:rsidRPr="009D265B" w14:paraId="088B0C24" w14:textId="77777777" w:rsidTr="001B0588">
        <w:trPr>
          <w:cantSplit/>
        </w:trPr>
        <w:tc>
          <w:tcPr>
            <w:tcW w:w="4644" w:type="dxa"/>
          </w:tcPr>
          <w:p w14:paraId="69A875E1" w14:textId="77777777" w:rsidR="006D61F8" w:rsidRPr="009D265B" w:rsidRDefault="006D61F8" w:rsidP="00891C0B"/>
        </w:tc>
        <w:tc>
          <w:tcPr>
            <w:tcW w:w="4645" w:type="dxa"/>
          </w:tcPr>
          <w:p w14:paraId="7EBF3617" w14:textId="66D19847" w:rsidR="006D61F8" w:rsidRPr="009D265B" w:rsidRDefault="006D61F8" w:rsidP="009D265B">
            <w:pPr>
              <w:jc w:val="center"/>
            </w:pPr>
            <w:r w:rsidRPr="009D265B">
              <w:t>Sekretarz Generalny</w:t>
            </w:r>
            <w:r w:rsidRPr="009D265B">
              <w:br/>
              <w:t>Europejskiego Komitetu Regionów</w:t>
            </w:r>
            <w:r w:rsidRPr="009D265B">
              <w:br/>
            </w:r>
            <w:r w:rsidRPr="009D265B">
              <w:br/>
            </w:r>
            <w:r w:rsidRPr="009D265B">
              <w:br/>
            </w:r>
            <w:r w:rsidRPr="009D265B">
              <w:br/>
            </w:r>
            <w:r w:rsidRPr="009D265B">
              <w:br/>
              <w:t xml:space="preserve">Petr BLÍŽKOVSKÝ </w:t>
            </w:r>
          </w:p>
        </w:tc>
      </w:tr>
    </w:tbl>
    <w:p w14:paraId="595D7740" w14:textId="7FDE8CFF" w:rsidR="006D61F8" w:rsidRPr="009D265B" w:rsidRDefault="006D61F8"/>
    <w:p w14:paraId="17D3FF23" w14:textId="47B48737" w:rsidR="009B67BE" w:rsidRPr="009D265B" w:rsidRDefault="009B67BE" w:rsidP="009D265B">
      <w:pPr>
        <w:spacing w:line="240" w:lineRule="auto"/>
      </w:pPr>
      <w:r w:rsidRPr="009D265B">
        <w:br w:type="page"/>
      </w:r>
    </w:p>
    <w:p w14:paraId="5E8C0F48" w14:textId="16C6B1EA" w:rsidR="00444A98" w:rsidRPr="009D265B" w:rsidRDefault="00444A98" w:rsidP="001B0588">
      <w:pPr>
        <w:keepNext/>
        <w:keepLines/>
        <w:numPr>
          <w:ilvl w:val="0"/>
          <w:numId w:val="67"/>
        </w:numPr>
        <w:ind w:left="567" w:hanging="567"/>
        <w:rPr>
          <w:b/>
          <w:bCs/>
        </w:rPr>
      </w:pPr>
      <w:r w:rsidRPr="009D265B">
        <w:rPr>
          <w:b/>
          <w:bCs/>
        </w:rPr>
        <w:lastRenderedPageBreak/>
        <w:t>PROCEDURA</w:t>
      </w:r>
    </w:p>
    <w:p w14:paraId="3E331439" w14:textId="77777777" w:rsidR="00444A98" w:rsidRPr="009D265B" w:rsidRDefault="00444A98" w:rsidP="00555485">
      <w:pPr>
        <w:keepNext/>
        <w:keepLines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48"/>
        <w:gridCol w:w="5441"/>
      </w:tblGrid>
      <w:tr w:rsidR="00183B81" w:rsidRPr="009D265B" w14:paraId="486B8D3A" w14:textId="77777777">
        <w:tc>
          <w:tcPr>
            <w:tcW w:w="3848" w:type="dxa"/>
            <w:noWrap/>
          </w:tcPr>
          <w:p w14:paraId="489BAB18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>Tytuł</w:t>
            </w:r>
          </w:p>
          <w:p w14:paraId="16FF9023" w14:textId="77777777" w:rsidR="00444A98" w:rsidRPr="009D265B" w:rsidRDefault="00444A98" w:rsidP="009D265B"/>
        </w:tc>
        <w:tc>
          <w:tcPr>
            <w:tcW w:w="5441" w:type="dxa"/>
            <w:noWrap/>
          </w:tcPr>
          <w:p w14:paraId="65494F14" w14:textId="77777777" w:rsidR="00444A98" w:rsidRPr="009D265B" w:rsidRDefault="003C7E2D">
            <w:r w:rsidRPr="009D265B">
              <w:t>Pakiet „rozszerzenie” na 2019 r.</w:t>
            </w:r>
          </w:p>
        </w:tc>
      </w:tr>
      <w:tr w:rsidR="00183B81" w:rsidRPr="009D265B" w14:paraId="3575C32C" w14:textId="77777777">
        <w:tc>
          <w:tcPr>
            <w:tcW w:w="3848" w:type="dxa"/>
            <w:noWrap/>
          </w:tcPr>
          <w:p w14:paraId="6115D78A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 xml:space="preserve">Dokumenty źródłowe </w:t>
            </w:r>
          </w:p>
        </w:tc>
        <w:tc>
          <w:tcPr>
            <w:tcW w:w="5441" w:type="dxa"/>
            <w:noWrap/>
          </w:tcPr>
          <w:p w14:paraId="1DFAB16F" w14:textId="77777777" w:rsidR="00444A98" w:rsidRPr="009D265B" w:rsidRDefault="003C7E2D">
            <w:r w:rsidRPr="009D265B">
              <w:t>COM(2019) 260 final; SWD(2019) 215 final; SWD(2019) 216 final; SWD(2019) 217 final; SWD(2019) 218 final; SWD(2019) 219 final; SWD(2019) 220 final</w:t>
            </w:r>
          </w:p>
        </w:tc>
      </w:tr>
      <w:tr w:rsidR="00183B81" w:rsidRPr="009D265B" w14:paraId="2467E934" w14:textId="77777777">
        <w:tc>
          <w:tcPr>
            <w:tcW w:w="3848" w:type="dxa"/>
            <w:noWrap/>
          </w:tcPr>
          <w:p w14:paraId="01CD2C48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>Podstawa prawna</w:t>
            </w:r>
          </w:p>
        </w:tc>
        <w:tc>
          <w:tcPr>
            <w:tcW w:w="5441" w:type="dxa"/>
            <w:noWrap/>
          </w:tcPr>
          <w:p w14:paraId="37286999" w14:textId="77777777" w:rsidR="00444A98" w:rsidRPr="009D265B" w:rsidRDefault="003C7E2D">
            <w:r w:rsidRPr="009D265B">
              <w:t>Opinia z inicjatywy własnej (art. 307 akapit pierwszy TFUE oraz art. 41 lit. b) ppkt (i) regulaminu wewnętrznego)</w:t>
            </w:r>
          </w:p>
        </w:tc>
      </w:tr>
      <w:tr w:rsidR="00183B81" w:rsidRPr="009D265B" w14:paraId="5A8CBD6C" w14:textId="77777777">
        <w:tc>
          <w:tcPr>
            <w:tcW w:w="3848" w:type="dxa"/>
            <w:noWrap/>
          </w:tcPr>
          <w:p w14:paraId="416A3978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>Tryb postępowania</w:t>
            </w:r>
          </w:p>
        </w:tc>
        <w:tc>
          <w:tcPr>
            <w:tcW w:w="5441" w:type="dxa"/>
            <w:noWrap/>
          </w:tcPr>
          <w:p w14:paraId="232B98AC" w14:textId="77777777" w:rsidR="00444A98" w:rsidRPr="009D265B" w:rsidRDefault="003C7E2D">
            <w:r w:rsidRPr="009D265B">
              <w:t>Konsultacja fakultatywna</w:t>
            </w:r>
          </w:p>
        </w:tc>
      </w:tr>
      <w:tr w:rsidR="00183B81" w:rsidRPr="009D265B" w14:paraId="3452D46E" w14:textId="77777777">
        <w:tc>
          <w:tcPr>
            <w:tcW w:w="3848" w:type="dxa"/>
          </w:tcPr>
          <w:p w14:paraId="644BC840" w14:textId="77777777" w:rsidR="00444A98" w:rsidRPr="009D265B" w:rsidRDefault="00444A98" w:rsidP="009D265B">
            <w:r w:rsidRPr="009D265B">
              <w:rPr>
                <w:b/>
                <w:bCs/>
              </w:rPr>
              <w:t>Data pisma Komisji</w:t>
            </w:r>
          </w:p>
        </w:tc>
        <w:tc>
          <w:tcPr>
            <w:tcW w:w="5441" w:type="dxa"/>
            <w:noWrap/>
          </w:tcPr>
          <w:p w14:paraId="4A4E2E4B" w14:textId="77777777" w:rsidR="00444A98" w:rsidRPr="009D265B" w:rsidRDefault="00EC346E">
            <w:r w:rsidRPr="009D265B">
              <w:t>29 maja 2019 r.</w:t>
            </w:r>
          </w:p>
        </w:tc>
      </w:tr>
      <w:tr w:rsidR="00183B81" w:rsidRPr="009D265B" w14:paraId="605D20E6" w14:textId="77777777">
        <w:tc>
          <w:tcPr>
            <w:tcW w:w="3848" w:type="dxa"/>
          </w:tcPr>
          <w:p w14:paraId="68AC49FD" w14:textId="77777777" w:rsidR="00444A98" w:rsidRPr="009D265B" w:rsidRDefault="00444A98" w:rsidP="009D265B">
            <w:r w:rsidRPr="009D265B">
              <w:rPr>
                <w:b/>
                <w:bCs/>
              </w:rPr>
              <w:t>Data decyzji Przewodniczącego</w:t>
            </w:r>
          </w:p>
        </w:tc>
        <w:tc>
          <w:tcPr>
            <w:tcW w:w="5441" w:type="dxa"/>
            <w:noWrap/>
          </w:tcPr>
          <w:p w14:paraId="349F5A6F" w14:textId="77777777" w:rsidR="00444A98" w:rsidRPr="009D265B" w:rsidRDefault="008319F4">
            <w:r w:rsidRPr="009D265B">
              <w:t>12 czerwca 2019 r.</w:t>
            </w:r>
          </w:p>
        </w:tc>
      </w:tr>
      <w:tr w:rsidR="00183B81" w:rsidRPr="009D265B" w14:paraId="40EA7E88" w14:textId="77777777">
        <w:tc>
          <w:tcPr>
            <w:tcW w:w="3848" w:type="dxa"/>
            <w:noWrap/>
          </w:tcPr>
          <w:p w14:paraId="6FC409D1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>Komisja odpowiedzialna</w:t>
            </w:r>
          </w:p>
        </w:tc>
        <w:tc>
          <w:tcPr>
            <w:tcW w:w="5441" w:type="dxa"/>
            <w:noWrap/>
          </w:tcPr>
          <w:p w14:paraId="4EB99734" w14:textId="77777777" w:rsidR="00444A98" w:rsidRPr="009D265B" w:rsidRDefault="003C7E2D">
            <w:r w:rsidRPr="009D265B">
              <w:t>Komisja Obywatelstwa, Sprawowania Rządów, Spraw Instytucjonalnych i Zewnętrznych</w:t>
            </w:r>
          </w:p>
        </w:tc>
      </w:tr>
      <w:tr w:rsidR="00183B81" w:rsidRPr="009D265B" w14:paraId="24E7CF16" w14:textId="77777777">
        <w:tc>
          <w:tcPr>
            <w:tcW w:w="3848" w:type="dxa"/>
            <w:noWrap/>
          </w:tcPr>
          <w:p w14:paraId="7F04FCAC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>Sprawozdawca</w:t>
            </w:r>
          </w:p>
        </w:tc>
        <w:tc>
          <w:tcPr>
            <w:tcW w:w="5441" w:type="dxa"/>
            <w:noWrap/>
          </w:tcPr>
          <w:p w14:paraId="7D5E4772" w14:textId="77777777" w:rsidR="00444A98" w:rsidRPr="009D265B" w:rsidRDefault="003C7E2D">
            <w:r w:rsidRPr="009D265B">
              <w:t>Jaroslav Hlinka (SK/PES)</w:t>
            </w:r>
          </w:p>
        </w:tc>
      </w:tr>
      <w:tr w:rsidR="00183B81" w:rsidRPr="009D265B" w14:paraId="2AEF2922" w14:textId="77777777">
        <w:tc>
          <w:tcPr>
            <w:tcW w:w="3848" w:type="dxa"/>
            <w:noWrap/>
          </w:tcPr>
          <w:p w14:paraId="6C003D68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>Notatka analityczna</w:t>
            </w:r>
          </w:p>
        </w:tc>
        <w:tc>
          <w:tcPr>
            <w:tcW w:w="5441" w:type="dxa"/>
            <w:noWrap/>
          </w:tcPr>
          <w:p w14:paraId="6040A462" w14:textId="77777777" w:rsidR="00444A98" w:rsidRPr="009D265B" w:rsidRDefault="00444A98"/>
        </w:tc>
      </w:tr>
      <w:tr w:rsidR="00183B81" w:rsidRPr="009D265B" w14:paraId="0E7CF671" w14:textId="77777777">
        <w:tc>
          <w:tcPr>
            <w:tcW w:w="3848" w:type="dxa"/>
            <w:noWrap/>
          </w:tcPr>
          <w:p w14:paraId="3409B58D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 xml:space="preserve">Posiedzenie komisji </w:t>
            </w:r>
          </w:p>
        </w:tc>
        <w:tc>
          <w:tcPr>
            <w:tcW w:w="5441" w:type="dxa"/>
            <w:noWrap/>
          </w:tcPr>
          <w:p w14:paraId="73869E8A" w14:textId="77777777" w:rsidR="00444A98" w:rsidRPr="009D265B" w:rsidRDefault="003C7E2D">
            <w:r w:rsidRPr="009D265B">
              <w:t>25 czerwca 2019 r</w:t>
            </w:r>
          </w:p>
        </w:tc>
      </w:tr>
      <w:tr w:rsidR="00183B81" w:rsidRPr="009D265B" w14:paraId="7D72D086" w14:textId="77777777">
        <w:tc>
          <w:tcPr>
            <w:tcW w:w="3848" w:type="dxa"/>
            <w:noWrap/>
          </w:tcPr>
          <w:p w14:paraId="6B070C83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 xml:space="preserve">Data przyjęcia przez komisję </w:t>
            </w:r>
          </w:p>
        </w:tc>
        <w:tc>
          <w:tcPr>
            <w:tcW w:w="5441" w:type="dxa"/>
            <w:noWrap/>
          </w:tcPr>
          <w:p w14:paraId="0877F807" w14:textId="77777777" w:rsidR="00444A98" w:rsidRPr="009D265B" w:rsidRDefault="003C7E2D">
            <w:r w:rsidRPr="009D265B">
              <w:t>14 listopada 2019 r.</w:t>
            </w:r>
          </w:p>
        </w:tc>
      </w:tr>
      <w:tr w:rsidR="00183B81" w:rsidRPr="009D265B" w14:paraId="00D960AA" w14:textId="77777777">
        <w:tc>
          <w:tcPr>
            <w:tcW w:w="3848" w:type="dxa"/>
            <w:noWrap/>
          </w:tcPr>
          <w:p w14:paraId="38B6966C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>Wynik głosowania w komisji</w:t>
            </w:r>
          </w:p>
          <w:p w14:paraId="4FB57CE2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>(większość, jednomyślność)</w:t>
            </w:r>
          </w:p>
        </w:tc>
        <w:tc>
          <w:tcPr>
            <w:tcW w:w="5441" w:type="dxa"/>
            <w:noWrap/>
          </w:tcPr>
          <w:p w14:paraId="0084C72B" w14:textId="77777777" w:rsidR="00444A98" w:rsidRPr="009D265B" w:rsidRDefault="00B221E7">
            <w:r w:rsidRPr="009D265B">
              <w:t>Większość</w:t>
            </w:r>
          </w:p>
        </w:tc>
      </w:tr>
      <w:tr w:rsidR="00183B81" w:rsidRPr="009D265B" w14:paraId="24EB8F77" w14:textId="77777777">
        <w:tc>
          <w:tcPr>
            <w:tcW w:w="3848" w:type="dxa"/>
            <w:noWrap/>
          </w:tcPr>
          <w:p w14:paraId="2E5E1B66" w14:textId="340BD60C" w:rsidR="00444A98" w:rsidRPr="009D265B" w:rsidRDefault="006D61F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 xml:space="preserve">Data przyjęcia na sesji plenarnej </w:t>
            </w:r>
          </w:p>
        </w:tc>
        <w:tc>
          <w:tcPr>
            <w:tcW w:w="5441" w:type="dxa"/>
            <w:noWrap/>
          </w:tcPr>
          <w:p w14:paraId="6B4DDB86" w14:textId="451F6134" w:rsidR="00444A98" w:rsidRPr="009D265B" w:rsidRDefault="002A59DF">
            <w:r w:rsidRPr="009D265B">
              <w:t>12 lutego 2020 r.</w:t>
            </w:r>
          </w:p>
        </w:tc>
      </w:tr>
      <w:tr w:rsidR="00183B81" w:rsidRPr="009D265B" w14:paraId="1B4FE715" w14:textId="77777777">
        <w:tc>
          <w:tcPr>
            <w:tcW w:w="3848" w:type="dxa"/>
            <w:noWrap/>
          </w:tcPr>
          <w:p w14:paraId="7BEB9A20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 xml:space="preserve">Wcześniejsze opinie Komitetu </w:t>
            </w:r>
          </w:p>
        </w:tc>
        <w:tc>
          <w:tcPr>
            <w:tcW w:w="5441" w:type="dxa"/>
            <w:noWrap/>
          </w:tcPr>
          <w:p w14:paraId="1884ABEC" w14:textId="77777777" w:rsidR="004E63C4" w:rsidRPr="009D265B" w:rsidRDefault="004E63C4">
            <w:r w:rsidRPr="009D265B">
              <w:t>„Pakiet »rozszerzenie« na 2018 r.” (CdR 2352/2018)</w:t>
            </w:r>
          </w:p>
          <w:p w14:paraId="34C43E99" w14:textId="77777777" w:rsidR="004E63C4" w:rsidRPr="009D265B" w:rsidRDefault="004E63C4">
            <w:r w:rsidRPr="009D265B">
              <w:t>Sprawozdawca: Franco Iacop (IT/PES)</w:t>
            </w:r>
          </w:p>
          <w:p w14:paraId="67A24075" w14:textId="77777777" w:rsidR="004E63C4" w:rsidRPr="001E11A7" w:rsidRDefault="004E63C4">
            <w:pPr>
              <w:rPr>
                <w:sz w:val="18"/>
                <w:szCs w:val="18"/>
              </w:rPr>
            </w:pPr>
          </w:p>
          <w:p w14:paraId="568FB047" w14:textId="77777777" w:rsidR="004E63C4" w:rsidRPr="009D265B" w:rsidRDefault="004E63C4">
            <w:r w:rsidRPr="009D265B">
              <w:t>„Rozszerzenie: włączenie władz lokalnych i regionalnych krajów Bałkanów Zachodnich w unijne inicjatywy dotyczące współpracy makroregionalnej, transgranicznej i transnarodowej” (CdR 65/2018)</w:t>
            </w:r>
          </w:p>
          <w:p w14:paraId="616A8396" w14:textId="77777777" w:rsidR="004E63C4" w:rsidRPr="009D265B" w:rsidRDefault="004E63C4">
            <w:r w:rsidRPr="009D265B">
              <w:t>Sprawozdawca: Franz Schausberger (AT/EPL)</w:t>
            </w:r>
          </w:p>
          <w:p w14:paraId="4E46EBA1" w14:textId="77777777" w:rsidR="004E63C4" w:rsidRPr="001E11A7" w:rsidRDefault="004E63C4">
            <w:pPr>
              <w:rPr>
                <w:sz w:val="18"/>
                <w:szCs w:val="18"/>
              </w:rPr>
            </w:pPr>
          </w:p>
          <w:p w14:paraId="11CA6D09" w14:textId="77777777" w:rsidR="004E63C4" w:rsidRPr="009D265B" w:rsidRDefault="004E63C4">
            <w:r w:rsidRPr="009D265B">
              <w:t>„Strategia rozszerzenia UE w latach 2016–2017” (CdR 93/2017)</w:t>
            </w:r>
          </w:p>
          <w:p w14:paraId="1DC5BB2D" w14:textId="77777777" w:rsidR="004E63C4" w:rsidRPr="009D265B" w:rsidRDefault="004E63C4">
            <w:r w:rsidRPr="009D265B">
              <w:t>Sprawozdawca: Rait Pihelgas (EE/ALDE)</w:t>
            </w:r>
          </w:p>
          <w:p w14:paraId="45AA7D12" w14:textId="77777777" w:rsidR="004E63C4" w:rsidRPr="001E11A7" w:rsidRDefault="004E63C4">
            <w:pPr>
              <w:rPr>
                <w:sz w:val="18"/>
                <w:szCs w:val="18"/>
              </w:rPr>
            </w:pPr>
          </w:p>
          <w:p w14:paraId="388CFF92" w14:textId="77777777" w:rsidR="004E63C4" w:rsidRPr="009D265B" w:rsidRDefault="004E63C4">
            <w:r w:rsidRPr="009D265B">
              <w:t>„Strategia rozszerzenia i najważniejsze wyzwania na lata 2015–2016” (CdR 5896/2015)</w:t>
            </w:r>
          </w:p>
          <w:p w14:paraId="14354A53" w14:textId="77777777" w:rsidR="004E63C4" w:rsidRPr="009D265B" w:rsidRDefault="004E63C4">
            <w:r w:rsidRPr="009D265B">
              <w:t>Sprawozdawczyni: Anna Magyar (HU/EPL)</w:t>
            </w:r>
          </w:p>
          <w:p w14:paraId="5B71142A" w14:textId="77777777" w:rsidR="004E63C4" w:rsidRPr="001E11A7" w:rsidRDefault="004E63C4">
            <w:pPr>
              <w:rPr>
                <w:sz w:val="18"/>
                <w:szCs w:val="18"/>
              </w:rPr>
            </w:pPr>
            <w:bookmarkStart w:id="0" w:name="_GoBack"/>
            <w:bookmarkEnd w:id="0"/>
          </w:p>
          <w:p w14:paraId="1C1F6A13" w14:textId="77777777" w:rsidR="004E63C4" w:rsidRPr="009D265B" w:rsidRDefault="004E63C4">
            <w:r w:rsidRPr="009D265B">
              <w:t xml:space="preserve">„Strategia rozszerzenia i najważniejsze wyzwania na lata 2014–2015” (CdR 5726/2014) </w:t>
            </w:r>
          </w:p>
          <w:p w14:paraId="7C351412" w14:textId="77777777" w:rsidR="004E63C4" w:rsidRPr="009D265B" w:rsidRDefault="004E63C4">
            <w:r w:rsidRPr="009D265B">
              <w:t>Sprawozdawca: Franz Schausberger (AT/EPL)</w:t>
            </w:r>
          </w:p>
        </w:tc>
      </w:tr>
      <w:tr w:rsidR="00183B81" w:rsidRPr="009D265B" w14:paraId="495AD6B7" w14:textId="77777777">
        <w:tc>
          <w:tcPr>
            <w:tcW w:w="3848" w:type="dxa"/>
            <w:noWrap/>
          </w:tcPr>
          <w:p w14:paraId="6360E3DF" w14:textId="77777777" w:rsidR="00444A98" w:rsidRPr="009D265B" w:rsidRDefault="00444A98" w:rsidP="009D265B">
            <w:pPr>
              <w:rPr>
                <w:b/>
                <w:bCs/>
              </w:rPr>
            </w:pPr>
            <w:r w:rsidRPr="009D265B">
              <w:rPr>
                <w:b/>
                <w:bCs/>
              </w:rPr>
              <w:t>Data konsultacji z Siecią Monitorującą Stosowanie Zasady Pomocniczości</w:t>
            </w:r>
          </w:p>
        </w:tc>
        <w:tc>
          <w:tcPr>
            <w:tcW w:w="5441" w:type="dxa"/>
            <w:noWrap/>
          </w:tcPr>
          <w:p w14:paraId="1712DAA6" w14:textId="77777777" w:rsidR="00444A98" w:rsidRPr="009D265B" w:rsidRDefault="004E63C4">
            <w:r w:rsidRPr="009D265B">
              <w:t>Nd.</w:t>
            </w:r>
          </w:p>
        </w:tc>
      </w:tr>
    </w:tbl>
    <w:p w14:paraId="447FFA32" w14:textId="77777777" w:rsidR="00444A98" w:rsidRPr="009D265B" w:rsidRDefault="00444A98">
      <w:pPr>
        <w:jc w:val="center"/>
      </w:pPr>
      <w:r w:rsidRPr="009D265B">
        <w:t>_____________</w:t>
      </w:r>
    </w:p>
    <w:sectPr w:rsidR="00444A98" w:rsidRPr="009D265B" w:rsidSect="009D265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39" w:code="9"/>
      <w:pgMar w:top="1417" w:right="1417" w:bottom="1417" w:left="1417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072E6E" w14:textId="77777777" w:rsidR="00444A98" w:rsidRDefault="00444A98">
      <w:r>
        <w:separator/>
      </w:r>
    </w:p>
  </w:endnote>
  <w:endnote w:type="continuationSeparator" w:id="0">
    <w:p w14:paraId="1D57FA25" w14:textId="77777777" w:rsidR="00444A98" w:rsidRDefault="00444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8FC0C" w14:textId="77777777" w:rsidR="009D265B" w:rsidRPr="009D265B" w:rsidRDefault="009D265B" w:rsidP="009D26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7B5DE" w14:textId="2BA137E7" w:rsidR="006E1FB3" w:rsidRPr="009D265B" w:rsidRDefault="009D265B" w:rsidP="009D265B">
    <w:pPr>
      <w:pStyle w:val="Footer"/>
    </w:pPr>
    <w:r>
      <w:t xml:space="preserve">COR-2019-02727-00-00-AC-TRA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1E11A7">
      <w:rPr>
        <w:noProof/>
      </w:rPr>
      <w:t>1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 w:rsidR="001E11A7">
        <w:rPr>
          <w:noProof/>
        </w:rPr>
        <w:instrText>11</w:instrText>
      </w:r>
    </w:fldSimple>
    <w:r>
      <w:instrText xml:space="preserve"> -0 </w:instrText>
    </w:r>
    <w:r>
      <w:fldChar w:fldCharType="separate"/>
    </w:r>
    <w:r w:rsidR="001E11A7">
      <w:rPr>
        <w:noProof/>
      </w:rPr>
      <w:t>11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C0C6C" w14:textId="77777777" w:rsidR="009D265B" w:rsidRPr="009D265B" w:rsidRDefault="009D265B" w:rsidP="009D265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5D0C5" w14:textId="77777777" w:rsidR="00FC2093" w:rsidRPr="009D265B" w:rsidRDefault="00FC2093" w:rsidP="009D265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A860BD" w14:textId="2D0D6743" w:rsidR="00FC2093" w:rsidRPr="009D265B" w:rsidRDefault="009D265B" w:rsidP="009D265B">
    <w:pPr>
      <w:pStyle w:val="Footer"/>
    </w:pPr>
    <w:r>
      <w:t xml:space="preserve">COR-2019-02727-00-00-AC-TRA (EN) </w:t>
    </w:r>
    <w:r>
      <w:fldChar w:fldCharType="begin"/>
    </w:r>
    <w:r>
      <w:instrText xml:space="preserve"> PAGE  \* Arabic  \* MERGEFORMAT </w:instrText>
    </w:r>
    <w:r>
      <w:fldChar w:fldCharType="separate"/>
    </w:r>
    <w:r w:rsidR="001E11A7">
      <w:rPr>
        <w:noProof/>
      </w:rPr>
      <w:t>11</w:t>
    </w:r>
    <w:r>
      <w:fldChar w:fldCharType="end"/>
    </w:r>
    <w:r>
      <w:t>/</w:t>
    </w:r>
    <w:r>
      <w:fldChar w:fldCharType="begin"/>
    </w:r>
    <w:r>
      <w:instrText xml:space="preserve"> = </w:instrText>
    </w:r>
    <w:fldSimple w:instr=" NUMPAGES ">
      <w:r w:rsidR="001E11A7">
        <w:rPr>
          <w:noProof/>
        </w:rPr>
        <w:instrText>11</w:instrText>
      </w:r>
    </w:fldSimple>
    <w:r>
      <w:instrText xml:space="preserve"> -0 </w:instrText>
    </w:r>
    <w:r>
      <w:fldChar w:fldCharType="separate"/>
    </w:r>
    <w:r w:rsidR="001E11A7">
      <w:rPr>
        <w:noProof/>
      </w:rPr>
      <w:t>11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EA9BFB" w14:textId="77777777" w:rsidR="00FC2093" w:rsidRPr="009D265B" w:rsidRDefault="00FC2093" w:rsidP="009D26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07106" w14:textId="77777777" w:rsidR="00444A98" w:rsidRDefault="00444A98">
      <w:r>
        <w:separator/>
      </w:r>
    </w:p>
  </w:footnote>
  <w:footnote w:type="continuationSeparator" w:id="0">
    <w:p w14:paraId="62AC0447" w14:textId="77777777" w:rsidR="00444A98" w:rsidRDefault="00444A98">
      <w:r>
        <w:continuationSeparator/>
      </w:r>
    </w:p>
  </w:footnote>
  <w:footnote w:id="1">
    <w:p w14:paraId="0EBDDEE5" w14:textId="77777777" w:rsidR="00CE6C40" w:rsidRPr="009D265B" w:rsidRDefault="00CE6C40">
      <w:pPr>
        <w:pStyle w:val="FootnoteText"/>
      </w:pPr>
      <w:r w:rsidRPr="009D265B">
        <w:rPr>
          <w:rStyle w:val="FootnoteReference"/>
        </w:rPr>
        <w:sym w:font="Symbol" w:char="F02A"/>
      </w:r>
      <w:r w:rsidRPr="009D265B">
        <w:rPr>
          <w:sz w:val="24"/>
          <w:vertAlign w:val="superscript"/>
        </w:rPr>
        <w:t xml:space="preserve"> </w:t>
      </w:r>
      <w:r w:rsidRPr="009D265B">
        <w:tab/>
        <w:t>Użycie tej nazwy nie wpływa na stanowiska w sprawie statusu Kosowa i jest zgodne z rezolucją Rady Bezpieczeństwa ONZ 1244/1999 oraz z opinią Międzynarodowego Trybunału Sprawiedliwości w sprawie Deklaracji niepodległości Kosowa.</w:t>
      </w:r>
    </w:p>
  </w:footnote>
  <w:footnote w:id="2">
    <w:p w14:paraId="251CA4DD" w14:textId="77777777" w:rsidR="00761E6C" w:rsidRPr="009D265B" w:rsidRDefault="00761E6C">
      <w:pPr>
        <w:pStyle w:val="FootnoteText"/>
      </w:pPr>
      <w:r w:rsidRPr="009D265B">
        <w:rPr>
          <w:rStyle w:val="FootnoteReference"/>
        </w:rPr>
        <w:footnoteRef/>
      </w:r>
      <w:r w:rsidRPr="009D265B">
        <w:tab/>
        <w:t>Rezolucja PE 2019/2883 (RSP).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9F642" w14:textId="77777777" w:rsidR="009D265B" w:rsidRPr="009D265B" w:rsidRDefault="009D265B" w:rsidP="009D26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79447" w14:textId="77777777" w:rsidR="009D265B" w:rsidRPr="009D265B" w:rsidRDefault="009D265B" w:rsidP="009D265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A4CBB6" w14:textId="77777777" w:rsidR="009D265B" w:rsidRPr="009D265B" w:rsidRDefault="009D265B" w:rsidP="009D265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F5F58" w14:textId="77777777" w:rsidR="00FC2093" w:rsidRPr="009D265B" w:rsidRDefault="00FC2093" w:rsidP="009D265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D491D" w14:textId="05FC9439" w:rsidR="00FC2093" w:rsidRPr="009D265B" w:rsidRDefault="00FC2093" w:rsidP="009D265B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46C9E" w14:textId="77777777" w:rsidR="00FC2093" w:rsidRPr="009D265B" w:rsidRDefault="00FC2093" w:rsidP="009D265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23AAA86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054697D"/>
    <w:multiLevelType w:val="hybridMultilevel"/>
    <w:tmpl w:val="7576BDE0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60A7F"/>
    <w:multiLevelType w:val="hybridMultilevel"/>
    <w:tmpl w:val="B9D25A84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B0160"/>
    <w:multiLevelType w:val="hybridMultilevel"/>
    <w:tmpl w:val="E9C829AE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D921A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AC56566"/>
    <w:multiLevelType w:val="hybridMultilevel"/>
    <w:tmpl w:val="A50C394E"/>
    <w:lvl w:ilvl="0" w:tplc="87125F4E">
      <w:start w:val="1"/>
      <w:numFmt w:val="bullet"/>
      <w:lvlRestart w:val="0"/>
      <w:lvlText w:val=""/>
      <w:lvlJc w:val="left"/>
      <w:pPr>
        <w:tabs>
          <w:tab w:val="num" w:pos="720"/>
        </w:tabs>
        <w:ind w:left="1089" w:hanging="369"/>
      </w:pPr>
      <w:rPr>
        <w:rFonts w:ascii="Symbol" w:hAnsi="Symbol" w:hint="default"/>
        <w:b w:val="0"/>
        <w:i w:val="0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E7D78EF"/>
    <w:multiLevelType w:val="hybridMultilevel"/>
    <w:tmpl w:val="51AA6D0A"/>
    <w:lvl w:ilvl="0" w:tplc="23969108">
      <w:start w:val="1"/>
      <w:numFmt w:val="bullet"/>
      <w:lvlRestart w:val="0"/>
      <w:lvlText w:val="-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9BDE0DC2">
      <w:start w:val="1"/>
      <w:numFmt w:val="bullet"/>
      <w:lvlRestart w:val="0"/>
      <w:lvlText w:val=""/>
      <w:lvlJc w:val="left"/>
      <w:pPr>
        <w:tabs>
          <w:tab w:val="num" w:pos="1080"/>
        </w:tabs>
        <w:ind w:left="1449" w:hanging="369"/>
      </w:pPr>
      <w:rPr>
        <w:rFonts w:ascii="Symbol" w:hAnsi="Symbol" w:hint="default"/>
        <w:b w:val="0"/>
        <w:i w:val="0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D6FF8"/>
    <w:multiLevelType w:val="hybridMultilevel"/>
    <w:tmpl w:val="ABC66076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57B7A"/>
    <w:multiLevelType w:val="hybridMultilevel"/>
    <w:tmpl w:val="51AA6D0A"/>
    <w:lvl w:ilvl="0" w:tplc="8BFAA160">
      <w:start w:val="1"/>
      <w:numFmt w:val="bullet"/>
      <w:lvlRestart w:val="0"/>
      <w:lvlText w:val="-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9BDE0DC2">
      <w:start w:val="1"/>
      <w:numFmt w:val="bullet"/>
      <w:lvlRestart w:val="0"/>
      <w:lvlText w:val=""/>
      <w:lvlJc w:val="left"/>
      <w:pPr>
        <w:tabs>
          <w:tab w:val="num" w:pos="1080"/>
        </w:tabs>
        <w:ind w:left="1449" w:hanging="369"/>
      </w:pPr>
      <w:rPr>
        <w:rFonts w:ascii="Symbol" w:hAnsi="Symbol" w:hint="default"/>
        <w:b w:val="0"/>
        <w:i w:val="0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27B42"/>
    <w:multiLevelType w:val="hybridMultilevel"/>
    <w:tmpl w:val="D7C6597E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F1A45"/>
    <w:multiLevelType w:val="hybridMultilevel"/>
    <w:tmpl w:val="FB72D8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0435DA"/>
    <w:multiLevelType w:val="hybridMultilevel"/>
    <w:tmpl w:val="E10ADE12"/>
    <w:lvl w:ilvl="0" w:tplc="70329F46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9C65A12"/>
    <w:multiLevelType w:val="hybridMultilevel"/>
    <w:tmpl w:val="36164AD6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D91568"/>
    <w:multiLevelType w:val="hybridMultilevel"/>
    <w:tmpl w:val="F4DE7EBC"/>
    <w:lvl w:ilvl="0" w:tplc="9BDE0DC2">
      <w:start w:val="1"/>
      <w:numFmt w:val="bullet"/>
      <w:lvlRestart w:val="0"/>
      <w:lvlText w:val=""/>
      <w:lvlJc w:val="left"/>
      <w:pPr>
        <w:tabs>
          <w:tab w:val="num" w:pos="0"/>
        </w:tabs>
        <w:ind w:left="369" w:hanging="369"/>
      </w:pPr>
      <w:rPr>
        <w:rFonts w:ascii="Symbol" w:hAnsi="Symbol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D0555C"/>
    <w:multiLevelType w:val="hybridMultilevel"/>
    <w:tmpl w:val="DF126144"/>
    <w:lvl w:ilvl="0" w:tplc="015ED6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063133"/>
    <w:multiLevelType w:val="hybridMultilevel"/>
    <w:tmpl w:val="37BA42EA"/>
    <w:lvl w:ilvl="0" w:tplc="61429412">
      <w:start w:val="1"/>
      <w:numFmt w:val="bullet"/>
      <w:lvlRestart w:val="0"/>
      <w:lvlText w:val="–"/>
      <w:lvlJc w:val="left"/>
      <w:pPr>
        <w:tabs>
          <w:tab w:val="num" w:pos="1089"/>
        </w:tabs>
        <w:ind w:left="1089" w:hanging="369"/>
      </w:pPr>
      <w:rPr>
        <w:rFonts w:ascii="Times New Roman" w:hAnsi="Times New Roman" w:hint="default"/>
        <w:b w:val="0"/>
        <w:i w:val="0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20B5A11"/>
    <w:multiLevelType w:val="hybridMultilevel"/>
    <w:tmpl w:val="2EF85972"/>
    <w:lvl w:ilvl="0" w:tplc="011E4778">
      <w:start w:val="1"/>
      <w:numFmt w:val="upperRoman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BC5746"/>
    <w:multiLevelType w:val="hybridMultilevel"/>
    <w:tmpl w:val="CA7EF60E"/>
    <w:lvl w:ilvl="0" w:tplc="E9DC4696">
      <w:start w:val="1"/>
      <w:numFmt w:val="upperRoman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5"/>
  </w:num>
  <w:num w:numId="4">
    <w:abstractNumId w:val="6"/>
  </w:num>
  <w:num w:numId="5">
    <w:abstractNumId w:val="8"/>
  </w:num>
  <w:num w:numId="6">
    <w:abstractNumId w:val="3"/>
  </w:num>
  <w:num w:numId="7">
    <w:abstractNumId w:val="1"/>
  </w:num>
  <w:num w:numId="8">
    <w:abstractNumId w:val="13"/>
  </w:num>
  <w:num w:numId="9">
    <w:abstractNumId w:val="9"/>
  </w:num>
  <w:num w:numId="10">
    <w:abstractNumId w:val="12"/>
  </w:num>
  <w:num w:numId="11">
    <w:abstractNumId w:val="2"/>
  </w:num>
  <w:num w:numId="12">
    <w:abstractNumId w:val="7"/>
  </w:num>
  <w:num w:numId="13">
    <w:abstractNumId w:val="17"/>
  </w:num>
  <w:num w:numId="14">
    <w:abstractNumId w:val="10"/>
  </w:num>
  <w:num w:numId="15">
    <w:abstractNumId w:val="4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 w:numId="53">
    <w:abstractNumId w:val="0"/>
  </w:num>
  <w:num w:numId="54">
    <w:abstractNumId w:val="0"/>
  </w:num>
  <w:num w:numId="55">
    <w:abstractNumId w:val="0"/>
  </w:num>
  <w:num w:numId="56">
    <w:abstractNumId w:val="0"/>
  </w:num>
  <w:num w:numId="57">
    <w:abstractNumId w:val="0"/>
  </w:num>
  <w:num w:numId="58">
    <w:abstractNumId w:val="0"/>
  </w:num>
  <w:num w:numId="59">
    <w:abstractNumId w:val="0"/>
  </w:num>
  <w:num w:numId="60">
    <w:abstractNumId w:val="0"/>
  </w:num>
  <w:num w:numId="61">
    <w:abstractNumId w:val="0"/>
  </w:num>
  <w:num w:numId="62">
    <w:abstractNumId w:val="0"/>
  </w:num>
  <w:num w:numId="63">
    <w:abstractNumId w:val="0"/>
  </w:num>
  <w:num w:numId="64">
    <w:abstractNumId w:val="0"/>
  </w:num>
  <w:num w:numId="65">
    <w:abstractNumId w:val="0"/>
  </w:num>
  <w:num w:numId="66">
    <w:abstractNumId w:val="0"/>
  </w:num>
  <w:num w:numId="67">
    <w:abstractNumId w:val="16"/>
  </w:num>
  <w:num w:numId="68">
    <w:abstractNumId w:val="14"/>
  </w:num>
  <w:num w:numId="69">
    <w:abstractNumId w:val="11"/>
  </w:num>
  <w:num w:numId="70">
    <w:abstractNumId w:val="1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hyphenationZone w:val="425"/>
  <w:drawingGridHorizontalSpacing w:val="110"/>
  <w:drawingGridVerticalSpacing w:val="299"/>
  <w:displayHorizontalDrawingGridEvery w:val="2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B94"/>
    <w:rsid w:val="000130C2"/>
    <w:rsid w:val="00013503"/>
    <w:rsid w:val="00020D7F"/>
    <w:rsid w:val="0003063D"/>
    <w:rsid w:val="00031D54"/>
    <w:rsid w:val="00033519"/>
    <w:rsid w:val="0004792D"/>
    <w:rsid w:val="00050181"/>
    <w:rsid w:val="000615B3"/>
    <w:rsid w:val="00063D0B"/>
    <w:rsid w:val="00067BA8"/>
    <w:rsid w:val="00076736"/>
    <w:rsid w:val="00080EC3"/>
    <w:rsid w:val="00083AE8"/>
    <w:rsid w:val="00090EFF"/>
    <w:rsid w:val="0009583E"/>
    <w:rsid w:val="000B3EFB"/>
    <w:rsid w:val="000B74D3"/>
    <w:rsid w:val="000C3BC1"/>
    <w:rsid w:val="000D6A84"/>
    <w:rsid w:val="000F4240"/>
    <w:rsid w:val="00101FBB"/>
    <w:rsid w:val="001050CC"/>
    <w:rsid w:val="00112E32"/>
    <w:rsid w:val="0012190B"/>
    <w:rsid w:val="0013749C"/>
    <w:rsid w:val="001449B8"/>
    <w:rsid w:val="0015645B"/>
    <w:rsid w:val="00183B81"/>
    <w:rsid w:val="001B0588"/>
    <w:rsid w:val="001B33A4"/>
    <w:rsid w:val="001C66A9"/>
    <w:rsid w:val="001E11A7"/>
    <w:rsid w:val="001E5620"/>
    <w:rsid w:val="001E600C"/>
    <w:rsid w:val="001F1AB8"/>
    <w:rsid w:val="002033F5"/>
    <w:rsid w:val="002054D0"/>
    <w:rsid w:val="002302F1"/>
    <w:rsid w:val="00254B94"/>
    <w:rsid w:val="0026767E"/>
    <w:rsid w:val="00286317"/>
    <w:rsid w:val="00293319"/>
    <w:rsid w:val="002A59DF"/>
    <w:rsid w:val="002A67BF"/>
    <w:rsid w:val="002B1E5E"/>
    <w:rsid w:val="002B6F85"/>
    <w:rsid w:val="002D618D"/>
    <w:rsid w:val="002F03D6"/>
    <w:rsid w:val="003112C5"/>
    <w:rsid w:val="00322488"/>
    <w:rsid w:val="00334D96"/>
    <w:rsid w:val="003563A4"/>
    <w:rsid w:val="00367564"/>
    <w:rsid w:val="00373ED4"/>
    <w:rsid w:val="00383975"/>
    <w:rsid w:val="003A043C"/>
    <w:rsid w:val="003B0723"/>
    <w:rsid w:val="003B1C77"/>
    <w:rsid w:val="003C0F98"/>
    <w:rsid w:val="003C369A"/>
    <w:rsid w:val="003C7E2D"/>
    <w:rsid w:val="003D4303"/>
    <w:rsid w:val="003E36D0"/>
    <w:rsid w:val="003E420C"/>
    <w:rsid w:val="00401EE2"/>
    <w:rsid w:val="00406724"/>
    <w:rsid w:val="00406B9D"/>
    <w:rsid w:val="00420C7E"/>
    <w:rsid w:val="004218F5"/>
    <w:rsid w:val="004336B4"/>
    <w:rsid w:val="00433958"/>
    <w:rsid w:val="00444A98"/>
    <w:rsid w:val="00454AD9"/>
    <w:rsid w:val="00475484"/>
    <w:rsid w:val="004A0C7C"/>
    <w:rsid w:val="004A41CF"/>
    <w:rsid w:val="004E0DC0"/>
    <w:rsid w:val="004E605D"/>
    <w:rsid w:val="004E63C4"/>
    <w:rsid w:val="00511212"/>
    <w:rsid w:val="00555485"/>
    <w:rsid w:val="00575FC1"/>
    <w:rsid w:val="00583866"/>
    <w:rsid w:val="005918A5"/>
    <w:rsid w:val="005A41BB"/>
    <w:rsid w:val="005A7F8D"/>
    <w:rsid w:val="005B233D"/>
    <w:rsid w:val="005B2905"/>
    <w:rsid w:val="005C36CD"/>
    <w:rsid w:val="005C4B78"/>
    <w:rsid w:val="005C4F1C"/>
    <w:rsid w:val="005D31A6"/>
    <w:rsid w:val="005E58C7"/>
    <w:rsid w:val="005F7D6F"/>
    <w:rsid w:val="006056C6"/>
    <w:rsid w:val="00615E3B"/>
    <w:rsid w:val="006178E4"/>
    <w:rsid w:val="006311E4"/>
    <w:rsid w:val="00692478"/>
    <w:rsid w:val="006A4A0A"/>
    <w:rsid w:val="006B004C"/>
    <w:rsid w:val="006C0FD8"/>
    <w:rsid w:val="006D0087"/>
    <w:rsid w:val="006D61F8"/>
    <w:rsid w:val="006D78CA"/>
    <w:rsid w:val="006E1FB3"/>
    <w:rsid w:val="006E4AE9"/>
    <w:rsid w:val="006F3AAA"/>
    <w:rsid w:val="0071343B"/>
    <w:rsid w:val="00720994"/>
    <w:rsid w:val="00737B0A"/>
    <w:rsid w:val="00741865"/>
    <w:rsid w:val="0075508D"/>
    <w:rsid w:val="00761E6C"/>
    <w:rsid w:val="00783F41"/>
    <w:rsid w:val="00785967"/>
    <w:rsid w:val="007A6D76"/>
    <w:rsid w:val="007B10B2"/>
    <w:rsid w:val="007B2E4D"/>
    <w:rsid w:val="007B774D"/>
    <w:rsid w:val="007C3773"/>
    <w:rsid w:val="007E3B99"/>
    <w:rsid w:val="007F0079"/>
    <w:rsid w:val="007F0FC4"/>
    <w:rsid w:val="007F68C4"/>
    <w:rsid w:val="007F74D7"/>
    <w:rsid w:val="00810512"/>
    <w:rsid w:val="00814E13"/>
    <w:rsid w:val="00814EF3"/>
    <w:rsid w:val="008224B6"/>
    <w:rsid w:val="008319F4"/>
    <w:rsid w:val="00833949"/>
    <w:rsid w:val="00834DFA"/>
    <w:rsid w:val="00837FA5"/>
    <w:rsid w:val="00847E17"/>
    <w:rsid w:val="00861745"/>
    <w:rsid w:val="00866F5C"/>
    <w:rsid w:val="00876AAF"/>
    <w:rsid w:val="008B032F"/>
    <w:rsid w:val="008B1C2A"/>
    <w:rsid w:val="008B2EC3"/>
    <w:rsid w:val="008D3638"/>
    <w:rsid w:val="008D5CBC"/>
    <w:rsid w:val="00913B7D"/>
    <w:rsid w:val="009352AE"/>
    <w:rsid w:val="0094101A"/>
    <w:rsid w:val="00984506"/>
    <w:rsid w:val="00993739"/>
    <w:rsid w:val="0099562C"/>
    <w:rsid w:val="009A16C1"/>
    <w:rsid w:val="009A6E15"/>
    <w:rsid w:val="009B67BE"/>
    <w:rsid w:val="009D265B"/>
    <w:rsid w:val="009F0B69"/>
    <w:rsid w:val="009F7D37"/>
    <w:rsid w:val="00A012E5"/>
    <w:rsid w:val="00A402C8"/>
    <w:rsid w:val="00A53FEB"/>
    <w:rsid w:val="00A80997"/>
    <w:rsid w:val="00A84676"/>
    <w:rsid w:val="00A911A9"/>
    <w:rsid w:val="00A91F95"/>
    <w:rsid w:val="00A928D2"/>
    <w:rsid w:val="00A96FE3"/>
    <w:rsid w:val="00AA77B1"/>
    <w:rsid w:val="00AB0937"/>
    <w:rsid w:val="00AB2BBC"/>
    <w:rsid w:val="00AE24D3"/>
    <w:rsid w:val="00AE4401"/>
    <w:rsid w:val="00B213A9"/>
    <w:rsid w:val="00B221E7"/>
    <w:rsid w:val="00B33062"/>
    <w:rsid w:val="00B33430"/>
    <w:rsid w:val="00B37612"/>
    <w:rsid w:val="00B544B2"/>
    <w:rsid w:val="00B57109"/>
    <w:rsid w:val="00B65DB1"/>
    <w:rsid w:val="00BB4B32"/>
    <w:rsid w:val="00BE061F"/>
    <w:rsid w:val="00BE3E20"/>
    <w:rsid w:val="00BF7AE7"/>
    <w:rsid w:val="00C21760"/>
    <w:rsid w:val="00C3552F"/>
    <w:rsid w:val="00C5746C"/>
    <w:rsid w:val="00C639CA"/>
    <w:rsid w:val="00C82639"/>
    <w:rsid w:val="00CA6B49"/>
    <w:rsid w:val="00CB717D"/>
    <w:rsid w:val="00CB7BAE"/>
    <w:rsid w:val="00CC0562"/>
    <w:rsid w:val="00CD7752"/>
    <w:rsid w:val="00CE0958"/>
    <w:rsid w:val="00CE5929"/>
    <w:rsid w:val="00CE6C40"/>
    <w:rsid w:val="00D144AF"/>
    <w:rsid w:val="00D46F0D"/>
    <w:rsid w:val="00DA0453"/>
    <w:rsid w:val="00DA085F"/>
    <w:rsid w:val="00DA3D38"/>
    <w:rsid w:val="00DA3DEA"/>
    <w:rsid w:val="00DA556C"/>
    <w:rsid w:val="00DB44C4"/>
    <w:rsid w:val="00DB7F22"/>
    <w:rsid w:val="00DC55CB"/>
    <w:rsid w:val="00DD66B3"/>
    <w:rsid w:val="00DE5160"/>
    <w:rsid w:val="00DE664B"/>
    <w:rsid w:val="00DF5986"/>
    <w:rsid w:val="00DF7D46"/>
    <w:rsid w:val="00E20D88"/>
    <w:rsid w:val="00E30D3A"/>
    <w:rsid w:val="00E52232"/>
    <w:rsid w:val="00E5664A"/>
    <w:rsid w:val="00E60C07"/>
    <w:rsid w:val="00E67837"/>
    <w:rsid w:val="00E83AE3"/>
    <w:rsid w:val="00E83E7B"/>
    <w:rsid w:val="00E86320"/>
    <w:rsid w:val="00EB3330"/>
    <w:rsid w:val="00EB3B52"/>
    <w:rsid w:val="00EC346E"/>
    <w:rsid w:val="00EC7166"/>
    <w:rsid w:val="00F224DC"/>
    <w:rsid w:val="00F40F26"/>
    <w:rsid w:val="00F42EDA"/>
    <w:rsid w:val="00F45402"/>
    <w:rsid w:val="00F55286"/>
    <w:rsid w:val="00F70D66"/>
    <w:rsid w:val="00F84BCE"/>
    <w:rsid w:val="00F85741"/>
    <w:rsid w:val="00F860A6"/>
    <w:rsid w:val="00F8719D"/>
    <w:rsid w:val="00F90F5A"/>
    <w:rsid w:val="00FA1EEE"/>
    <w:rsid w:val="00FC2093"/>
    <w:rsid w:val="00FD1B50"/>
    <w:rsid w:val="00FD45CE"/>
    <w:rsid w:val="00FE085F"/>
    <w:rsid w:val="00FE7B56"/>
    <w:rsid w:val="00FF53DC"/>
    <w:rsid w:val="00FF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B32AF2E"/>
  <w15:docId w15:val="{A47DF5A3-277F-46C1-8178-5B42FFECEDF0}"/>
  <w:attachedTemplate r:id="relationI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958"/>
    <w:pPr>
      <w:spacing w:line="288" w:lineRule="auto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E0958"/>
    <w:pPr>
      <w:numPr>
        <w:numId w:val="1"/>
      </w:numPr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CE0958"/>
    <w:pPr>
      <w:numPr>
        <w:ilvl w:val="1"/>
        <w:numId w:val="1"/>
      </w:num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CE0958"/>
    <w:pPr>
      <w:numPr>
        <w:ilvl w:val="2"/>
        <w:numId w:val="1"/>
      </w:num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CE0958"/>
    <w:pPr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CE0958"/>
    <w:pPr>
      <w:numPr>
        <w:ilvl w:val="4"/>
        <w:numId w:val="1"/>
      </w:num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CE0958"/>
    <w:pPr>
      <w:numPr>
        <w:ilvl w:val="5"/>
        <w:numId w:val="1"/>
      </w:num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CE0958"/>
    <w:pPr>
      <w:numPr>
        <w:ilvl w:val="6"/>
        <w:numId w:val="1"/>
      </w:num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CE0958"/>
    <w:pPr>
      <w:numPr>
        <w:ilvl w:val="7"/>
        <w:numId w:val="1"/>
      </w:num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CE0958"/>
    <w:pPr>
      <w:numPr>
        <w:ilvl w:val="8"/>
        <w:numId w:val="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D66A8"/>
    <w:rPr>
      <w:kern w:val="28"/>
      <w:sz w:val="22"/>
      <w:szCs w:val="22"/>
      <w:lang w:val="pl-PL" w:eastAsia="en-US"/>
    </w:rPr>
  </w:style>
  <w:style w:type="character" w:customStyle="1" w:styleId="Heading2Char">
    <w:name w:val="Heading 2 Char"/>
    <w:basedOn w:val="DefaultParagraphFont"/>
    <w:link w:val="Heading2"/>
    <w:rsid w:val="009D66A8"/>
    <w:rPr>
      <w:sz w:val="22"/>
      <w:szCs w:val="22"/>
      <w:lang w:val="pl-PL" w:eastAsia="en-US"/>
    </w:rPr>
  </w:style>
  <w:style w:type="character" w:customStyle="1" w:styleId="Heading3Char">
    <w:name w:val="Heading 3 Char"/>
    <w:basedOn w:val="DefaultParagraphFont"/>
    <w:link w:val="Heading3"/>
    <w:rsid w:val="009D66A8"/>
    <w:rPr>
      <w:sz w:val="22"/>
      <w:szCs w:val="22"/>
      <w:lang w:val="pl-PL" w:eastAsia="en-US"/>
    </w:rPr>
  </w:style>
  <w:style w:type="character" w:customStyle="1" w:styleId="Heading4Char">
    <w:name w:val="Heading 4 Char"/>
    <w:basedOn w:val="DefaultParagraphFont"/>
    <w:link w:val="Heading4"/>
    <w:rsid w:val="009D66A8"/>
    <w:rPr>
      <w:sz w:val="22"/>
      <w:szCs w:val="22"/>
      <w:lang w:val="pl-PL" w:eastAsia="en-US"/>
    </w:rPr>
  </w:style>
  <w:style w:type="character" w:customStyle="1" w:styleId="Heading5Char">
    <w:name w:val="Heading 5 Char"/>
    <w:basedOn w:val="DefaultParagraphFont"/>
    <w:link w:val="Heading5"/>
    <w:rsid w:val="009D66A8"/>
    <w:rPr>
      <w:sz w:val="22"/>
      <w:szCs w:val="22"/>
      <w:lang w:val="pl-PL" w:eastAsia="en-US"/>
    </w:rPr>
  </w:style>
  <w:style w:type="character" w:customStyle="1" w:styleId="Heading6Char">
    <w:name w:val="Heading 6 Char"/>
    <w:basedOn w:val="DefaultParagraphFont"/>
    <w:link w:val="Heading6"/>
    <w:rsid w:val="009D66A8"/>
    <w:rPr>
      <w:sz w:val="22"/>
      <w:szCs w:val="22"/>
      <w:lang w:val="pl-PL" w:eastAsia="en-US"/>
    </w:rPr>
  </w:style>
  <w:style w:type="character" w:customStyle="1" w:styleId="Heading7Char">
    <w:name w:val="Heading 7 Char"/>
    <w:basedOn w:val="DefaultParagraphFont"/>
    <w:link w:val="Heading7"/>
    <w:rsid w:val="009D66A8"/>
    <w:rPr>
      <w:sz w:val="22"/>
      <w:szCs w:val="22"/>
      <w:lang w:val="pl-PL" w:eastAsia="en-US"/>
    </w:rPr>
  </w:style>
  <w:style w:type="character" w:customStyle="1" w:styleId="Heading8Char">
    <w:name w:val="Heading 8 Char"/>
    <w:basedOn w:val="DefaultParagraphFont"/>
    <w:link w:val="Heading8"/>
    <w:rsid w:val="009D66A8"/>
    <w:rPr>
      <w:sz w:val="22"/>
      <w:szCs w:val="22"/>
      <w:lang w:val="pl-PL" w:eastAsia="en-US"/>
    </w:rPr>
  </w:style>
  <w:style w:type="character" w:customStyle="1" w:styleId="Heading9Char">
    <w:name w:val="Heading 9 Char"/>
    <w:basedOn w:val="DefaultParagraphFont"/>
    <w:link w:val="Heading9"/>
    <w:rsid w:val="009D66A8"/>
    <w:rPr>
      <w:sz w:val="22"/>
      <w:szCs w:val="22"/>
      <w:lang w:val="pl-PL" w:eastAsia="en-US"/>
    </w:rPr>
  </w:style>
  <w:style w:type="paragraph" w:styleId="Footer">
    <w:name w:val="footer"/>
    <w:basedOn w:val="Normal"/>
    <w:link w:val="FooterChar"/>
    <w:qFormat/>
    <w:rsid w:val="00CE0958"/>
  </w:style>
  <w:style w:type="character" w:customStyle="1" w:styleId="FooterChar">
    <w:name w:val="Footer Char"/>
    <w:basedOn w:val="DefaultParagraphFont"/>
    <w:link w:val="Footer"/>
    <w:rsid w:val="009D66A8"/>
    <w:rPr>
      <w:sz w:val="22"/>
      <w:szCs w:val="22"/>
      <w:lang w:val="pl-PL" w:eastAsia="en-US"/>
    </w:rPr>
  </w:style>
  <w:style w:type="paragraph" w:styleId="FootnoteText">
    <w:name w:val="footnote text"/>
    <w:basedOn w:val="Normal"/>
    <w:link w:val="FootnoteTextChar"/>
    <w:qFormat/>
    <w:rsid w:val="00CE0958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9D66A8"/>
    <w:rPr>
      <w:sz w:val="16"/>
      <w:szCs w:val="22"/>
      <w:lang w:val="pl-PL" w:eastAsia="en-US"/>
    </w:rPr>
  </w:style>
  <w:style w:type="paragraph" w:styleId="Header">
    <w:name w:val="header"/>
    <w:basedOn w:val="Normal"/>
    <w:link w:val="HeaderChar"/>
    <w:qFormat/>
    <w:rsid w:val="00CE0958"/>
  </w:style>
  <w:style w:type="character" w:customStyle="1" w:styleId="HeaderChar">
    <w:name w:val="Header Char"/>
    <w:basedOn w:val="DefaultParagraphFont"/>
    <w:link w:val="Header"/>
    <w:rsid w:val="009D66A8"/>
    <w:rPr>
      <w:sz w:val="22"/>
      <w:szCs w:val="22"/>
      <w:lang w:val="pl-PL" w:eastAsia="en-US"/>
    </w:rPr>
  </w:style>
  <w:style w:type="paragraph" w:customStyle="1" w:styleId="quotes">
    <w:name w:val="quotes"/>
    <w:basedOn w:val="Normal"/>
    <w:next w:val="Normal"/>
    <w:rsid w:val="00CE0958"/>
    <w:pPr>
      <w:ind w:left="720"/>
    </w:pPr>
    <w:rPr>
      <w:i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otnoteReference">
    <w:name w:val="footnote reference"/>
    <w:basedOn w:val="DefaultParagraphFont"/>
    <w:unhideWhenUsed/>
    <w:qFormat/>
    <w:rsid w:val="00CE0958"/>
    <w:rPr>
      <w:sz w:val="24"/>
      <w:vertAlign w:val="superscript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paragraph" w:customStyle="1" w:styleId="LOGO">
    <w:name w:val="LOGO"/>
    <w:basedOn w:val="Normal"/>
    <w:pPr>
      <w:jc w:val="center"/>
    </w:pPr>
    <w:rPr>
      <w:rFonts w:ascii="Arial" w:hAnsi="Arial"/>
      <w:b/>
      <w:i/>
      <w:sz w:val="20"/>
    </w:rPr>
  </w:style>
  <w:style w:type="table" w:styleId="TableGrid">
    <w:name w:val="Table Grid"/>
    <w:basedOn w:val="TableNormal"/>
    <w:uiPriority w:val="39"/>
    <w:rsid w:val="00B221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0"/>
    <w:rsid w:val="006D61F8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  <w:jc w:val="both"/>
    </w:pPr>
    <w:rPr>
      <w:color w:val="000000"/>
      <w:sz w:val="22"/>
      <w:szCs w:val="22"/>
      <w:u w:color="000000"/>
      <w:bdr w:val="nil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3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2.png"/><Relationship Id="rId26" Type="http://schemas.openxmlformats.org/officeDocument/2006/relationships/theme" Target="theme/theme1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ntTable" Target="fontTable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29" Type="http://schemas.openxmlformats.org/officeDocument/2006/relationships/customXml" Target="../customXml/item3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6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6.xml"/><Relationship Id="rId28" Type="http://schemas.openxmlformats.org/officeDocument/2006/relationships/customXml" Target="../customXml/item2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5.xml"/><Relationship Id="rId27" Type="http://schemas.openxmlformats.org/officeDocument/2006/relationships/customXml" Target="../customXml/item1.xml"/><Relationship Id="rId30" Type="http://schemas.openxmlformats.org/officeDocument/2006/relationships/customXml" Target="../customXml/item4.xm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file:///Y:\word2016\Templates\Global\Styles.dotm" TargetMode="External" Id="rId1" /><Relationship Type="http://schemas.openxmlformats.org/officeDocument/2006/relationships/attachedTemplate" Target="Normal.dotm" TargetMode="External" Id="relationId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7bdf61-ef81-4463-9c7c-83f2607ad7f5">NVCDSECZW5MX-178431975-6066</_dlc_DocId>
    <_dlc_DocIdUrl xmlns="857bdf61-ef81-4463-9c7c-83f2607ad7f5">
      <Url>http://dm2016/cor/2019/_layouts/15/DocIdRedir.aspx?ID=NVCDSECZW5MX-178431975-6066</Url>
      <Description>NVCDSECZW5MX-178431975-6066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AC</TermName>
          <TermId xmlns="http://schemas.microsoft.com/office/infopath/2007/PartnerControls">a4cc1d15-fb08-4679-ad46-e4e0cba5fe92</TermId>
        </TermInfo>
      </Terms>
    </DocumentType_0>
    <Procedure xmlns="857bdf61-ef81-4463-9c7c-83f2607ad7f5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</TermName>
          <TermId xmlns="http://schemas.microsoft.com/office/infopath/2007/PartnerControls">cb2d75ef-4a7d-4393-b797-49ed6298a5ea</TermId>
        </TermInfo>
      </Terms>
    </DocumentSource_0>
    <ProductionDate xmlns="857bdf61-ef81-4463-9c7c-83f2607ad7f5">2020-02-19T12:00:00+00:00</ProductionDate>
    <FicheYear xmlns="857bdf61-ef81-4463-9c7c-83f2607ad7f5">2019</FicheYear>
    <DocumentNumber xmlns="9dd7a2b9-76b3-458f-a667-d2984d493257">2727</DocumentNumber>
    <DocumentVersion xmlns="857bdf61-ef81-4463-9c7c-83f2607ad7f5">0</DocumentVersion>
    <DossierNumber xmlns="857bdf61-ef81-4463-9c7c-83f2607ad7f5">42</DossierNumber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857bdf61-ef81-4463-9c7c-83f2607ad7f5" xsi:nil="true"/>
    <TaxCatchAll xmlns="857bdf61-ef81-4463-9c7c-83f2607ad7f5">
      <Value>87</Value>
      <Value>98</Value>
      <Value>47</Value>
      <Value>40</Value>
      <Value>38</Value>
      <Value>37</Value>
      <Value>36</Value>
      <Value>35</Value>
      <Value>33</Value>
      <Value>32</Value>
      <Value>30</Value>
      <Value>29</Value>
      <Value>28</Value>
      <Value>27</Value>
      <Value>25</Value>
      <Value>24</Value>
      <Value>23</Value>
      <Value>22</Value>
      <Value>21</Value>
      <Value>20</Value>
      <Value>18</Value>
      <Value>17</Value>
      <Value>13</Value>
      <Value>10</Value>
      <Value>9</Value>
      <Value>7</Value>
      <Value>6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</Terms>
    </DocumentLanguage_0>
    <Rapporteur xmlns="857bdf61-ef81-4463-9c7c-83f2607ad7f5">HLINKA</Rapporteur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DocumentYear xmlns="857bdf61-ef81-4463-9c7c-83f2607ad7f5">2019</DocumentYear>
    <FicheNumber xmlns="857bdf61-ef81-4463-9c7c-83f2607ad7f5">1561</FicheNumber>
    <DocumentPart xmlns="857bdf61-ef81-4463-9c7c-83f2607ad7f5">0</DocumentPart>
    <AdoptionDate xmlns="857bdf61-ef81-4463-9c7c-83f2607ad7f5">2020-02-12T12:00:00+00:00</AdoptionDate>
    <RequestingService xmlns="857bdf61-ef81-4463-9c7c-83f2607ad7f5">Affaires constitutionnelles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LV</TermName>
          <TermId xmlns="http://schemas.microsoft.com/office/infopath/2007/PartnerControls">46f7e311-5d9f-4663-b433-18aeccb7ace7</TermId>
        </TermInfo>
        <TermInfo xmlns="http://schemas.microsoft.com/office/infopath/2007/PartnerControls">
          <TermName xmlns="http://schemas.microsoft.com/office/infopath/2007/PartnerControls">MT</TermName>
          <TermId xmlns="http://schemas.microsoft.com/office/infopath/2007/PartnerControls">7df99101-6854-4a26-b53a-b88c0da02c26</TermId>
        </TermInfo>
        <TermInfo xmlns="http://schemas.microsoft.com/office/infopath/2007/PartnerControls">
          <TermName xmlns="http://schemas.microsoft.com/office/infopath/2007/PartnerControls">FI</TermName>
          <TermId xmlns="http://schemas.microsoft.com/office/infopath/2007/PartnerControls">87606a43-d45f-42d6-b8c9-e1a3457db5b7</TermId>
        </TermInfo>
        <TermInfo xmlns="http://schemas.microsoft.com/office/infopath/2007/PartnerControls">
          <TermName xmlns="http://schemas.microsoft.com/office/infopath/2007/PartnerControls">RO</TermName>
          <TermId xmlns="http://schemas.microsoft.com/office/infopath/2007/PartnerControls">feb747a2-64cd-4299-af12-4833ddc30497</TermId>
        </TermInfo>
        <TermInfo xmlns="http://schemas.microsoft.com/office/infopath/2007/PartnerControls">
          <TermName xmlns="http://schemas.microsoft.com/office/infopath/2007/PartnerControls">DE</TermName>
          <TermId xmlns="http://schemas.microsoft.com/office/infopath/2007/PartnerControls">f6b31e5a-26fa-4935-b661-318e46daf27e</TermId>
        </TermInfo>
        <TermInfo xmlns="http://schemas.microsoft.com/office/infopath/2007/PartnerControls">
          <TermName xmlns="http://schemas.microsoft.com/office/infopath/2007/PartnerControls">SV</TermName>
          <TermId xmlns="http://schemas.microsoft.com/office/infopath/2007/PartnerControls">c2ed69e7-a339-43d7-8f22-d93680a92aa0</TermId>
        </TermInfo>
        <TermInfo xmlns="http://schemas.microsoft.com/office/infopath/2007/PartnerControls">
          <TermName xmlns="http://schemas.microsoft.com/office/infopath/2007/PartnerControls">PT</TermName>
          <TermId xmlns="http://schemas.microsoft.com/office/infopath/2007/PartnerControls">50ccc04a-eadd-42ae-a0cb-acaf45f812ba</TermId>
        </TermInfo>
        <TermInfo xmlns="http://schemas.microsoft.com/office/infopath/2007/PartnerControls">
          <TermName xmlns="http://schemas.microsoft.com/office/infopath/2007/PartnerControls">HR</TermName>
          <TermId xmlns="http://schemas.microsoft.com/office/infopath/2007/PartnerControls">2f555653-ed1a-4fe6-8362-9082d95989e5</TermId>
        </TermInfo>
        <TermInfo xmlns="http://schemas.microsoft.com/office/infopath/2007/PartnerControls">
          <TermName xmlns="http://schemas.microsoft.com/office/infopath/2007/PartnerControls">ES</TermName>
          <TermId xmlns="http://schemas.microsoft.com/office/infopath/2007/PartnerControls">e7a6b05b-ae16-40c8-add9-68b64b03aeba</TermId>
        </TermInfo>
        <TermInfo xmlns="http://schemas.microsoft.com/office/infopath/2007/PartnerControls">
          <TermName xmlns="http://schemas.microsoft.com/office/infopath/2007/PartnerControls">DA</TermName>
          <TermId xmlns="http://schemas.microsoft.com/office/infopath/2007/PartnerControls">5d49c027-8956-412b-aa16-e85a0f96ad0e</TermId>
        </TermInfo>
        <TermInfo xmlns="http://schemas.microsoft.com/office/infopath/2007/PartnerControls">
          <TermName xmlns="http://schemas.microsoft.com/office/infopath/2007/PartnerControls">LT</TermName>
          <TermId xmlns="http://schemas.microsoft.com/office/infopath/2007/PartnerControls">a7ff5ce7-6123-4f68-865a-a57c31810414</TermId>
        </TermInfo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d2afafd3-4c81-4f60-8f52-ee33f2f54ff3</TermId>
        </TermInfo>
        <TermInfo xmlns="http://schemas.microsoft.com/office/infopath/2007/PartnerControls">
          <TermName xmlns="http://schemas.microsoft.com/office/infopath/2007/PartnerControls">EL</TermName>
          <TermId xmlns="http://schemas.microsoft.com/office/infopath/2007/PartnerControls">6d4f4d51-af9b-4650-94b4-4276bee85c91</TermId>
        </TermInfo>
        <TermInfo xmlns="http://schemas.microsoft.com/office/infopath/2007/PartnerControls">
          <TermName xmlns="http://schemas.microsoft.com/office/infopath/2007/PartnerControls">PL</TermName>
          <TermId xmlns="http://schemas.microsoft.com/office/infopath/2007/PartnerControls">1e03da61-4678-4e07-b136-b5024ca9197b</TermId>
        </TermInfo>
        <TermInfo xmlns="http://schemas.microsoft.com/office/infopath/2007/PartnerControls">
          <TermName xmlns="http://schemas.microsoft.com/office/infopath/2007/PartnerControls">ET</TermName>
          <TermId xmlns="http://schemas.microsoft.com/office/infopath/2007/PartnerControls">ff6c3f4c-b02c-4c3c-ab07-2c37995a7a0a</TermId>
        </TermInfo>
        <TermInfo xmlns="http://schemas.microsoft.com/office/infopath/2007/PartnerControls">
          <TermName xmlns="http://schemas.microsoft.com/office/infopath/2007/PartnerControls">SK</TermName>
          <TermId xmlns="http://schemas.microsoft.com/office/infopath/2007/PartnerControls">46d9fce0-ef79-4f71-b89b-cd6aa82426b8</TermId>
        </TermInfo>
        <TermInfo xmlns="http://schemas.microsoft.com/office/infopath/2007/PartnerControls">
          <TermName xmlns="http://schemas.microsoft.com/office/infopath/2007/PartnerControls">NL</TermName>
          <TermId xmlns="http://schemas.microsoft.com/office/infopath/2007/PartnerControls">55c6556c-b4f4-441d-9acf-c498d4f838bd</TermId>
        </TermInfo>
        <TermInfo xmlns="http://schemas.microsoft.com/office/infopath/2007/PartnerControls">
          <TermName xmlns="http://schemas.microsoft.com/office/infopath/2007/PartnerControls">HU</TermName>
          <TermId xmlns="http://schemas.microsoft.com/office/infopath/2007/PartnerControls">6b229040-c589-4408-b4c1-4285663d20a8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SL</TermName>
          <TermId xmlns="http://schemas.microsoft.com/office/infopath/2007/PartnerControls">98a412ae-eb01-49e9-ae3d-585a81724cfc</TermId>
        </TermInfo>
        <TermInfo xmlns="http://schemas.microsoft.com/office/infopath/2007/PartnerControls">
          <TermName xmlns="http://schemas.microsoft.com/office/infopath/2007/PartnerControls">BG</TermName>
          <TermId xmlns="http://schemas.microsoft.com/office/infopath/2007/PartnerControls">1a1b3951-7821-4e6a-85f5-5673fc08bd2c</TermId>
        </TermInfo>
        <TermInfo xmlns="http://schemas.microsoft.com/office/infopath/2007/PartnerControls">
          <TermName xmlns="http://schemas.microsoft.com/office/infopath/2007/PartnerControls">CS</TermName>
          <TermId xmlns="http://schemas.microsoft.com/office/infopath/2007/PartnerControls">72f9705b-0217-4fd3-bea2-cbc7ed80e26e</TermId>
        </TermInfo>
        <TermInfo xmlns="http://schemas.microsoft.com/office/infopath/2007/PartnerControls">
          <TermName xmlns="http://schemas.microsoft.com/office/infopath/2007/PartnerControls">GA</TermName>
          <TermId xmlns="http://schemas.microsoft.com/office/infopath/2007/PartnerControls">762d2456-c427-4ecb-b312-af3dad8e258c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9dd7a2b9-76b3-458f-a667-d2984d493257" xsi:nil="true"/>
    <DossierNam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CIVEX-VI</TermName>
          <TermId xmlns="http://schemas.microsoft.com/office/infopath/2007/PartnerControls">e92fc6b6-a39d-4ec0-a9fe-54e321eead59</TermId>
        </TermInfo>
      </Terms>
    </DossierName_0>
    <OriginalSender xmlns="857bdf61-ef81-4463-9c7c-83f2607ad7f5">
      <UserInfo>
        <DisplayName/>
        <AccountId xsi:nil="true"/>
        <AccountType/>
      </UserInfo>
    </OriginalSend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0B8126D8DB4058449AFEEA4648410E79" ma:contentTypeVersion="7" ma:contentTypeDescription="Defines the documents for Document Manager V2" ma:contentTypeScope="" ma:versionID="efb3186ae4f8f220474383373b2f3093">
  <xsd:schema xmlns:xsd="http://www.w3.org/2001/XMLSchema" xmlns:xs="http://www.w3.org/2001/XMLSchema" xmlns:p="http://schemas.microsoft.com/office/2006/metadata/properties" xmlns:ns2="857bdf61-ef81-4463-9c7c-83f2607ad7f5" xmlns:ns3="http://schemas.microsoft.com/sharepoint/v3/fields" xmlns:ns4="9dd7a2b9-76b3-458f-a667-d2984d493257" targetNamespace="http://schemas.microsoft.com/office/2006/metadata/properties" ma:root="true" ma:fieldsID="2aec9a206946f4f17cf8aeb461fa7e1f" ns2:_="" ns3:_="" ns4:_="">
    <xsd:import namespace="857bdf61-ef81-4463-9c7c-83f2607ad7f5"/>
    <xsd:import namespace="http://schemas.microsoft.com/sharepoint/v3/fields"/>
    <xsd:import namespace="9dd7a2b9-76b3-458f-a667-d2984d49325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  <xsd:element ref="ns2:OriginalSend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bdf61-ef81-4463-9c7c-83f2607ad7f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hidden="true" ma:list="{57b40324-ba81-467e-b318-8db2e7caf763}" ma:internalName="TaxCatchAll" ma:showField="CatchAllData" ma:web="857bdf61-ef81-4463-9c7c-83f2607ad7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hidden="true" ma:list="{57b40324-ba81-467e-b318-8db2e7caf763}" ma:internalName="TaxCatchAllLabel" ma:readOnly="true" ma:showField="CatchAllDataLabel" ma:web="857bdf61-ef81-4463-9c7c-83f2607ad7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  <xsd:element name="OriginalSender" ma:index="47" nillable="true" ma:displayName="Original Sender" ma:internalName="OriginalSend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d7a2b9-76b3-458f-a667-d2984d493257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3A9C10-0766-4F26-A714-240CDDECF00B}"/>
</file>

<file path=customXml/itemProps2.xml><?xml version="1.0" encoding="utf-8"?>
<ds:datastoreItem xmlns:ds="http://schemas.openxmlformats.org/officeDocument/2006/customXml" ds:itemID="{804448DF-312B-419C-9669-75A10FA4F4C1}"/>
</file>

<file path=customXml/itemProps3.xml><?xml version="1.0" encoding="utf-8"?>
<ds:datastoreItem xmlns:ds="http://schemas.openxmlformats.org/officeDocument/2006/customXml" ds:itemID="{DCF8C177-AAC0-4AC2-8C1D-96ECBAC3C14B}"/>
</file>

<file path=customXml/itemProps4.xml><?xml version="1.0" encoding="utf-8"?>
<ds:datastoreItem xmlns:ds="http://schemas.openxmlformats.org/officeDocument/2006/customXml" ds:itemID="{15EA5ECB-2701-4B57-B6AA-C4933CA86CFD}"/>
</file>

<file path=docProps/app.xml><?xml version="1.0" encoding="utf-8"?>
<Properties xmlns="http://schemas.openxmlformats.org/officeDocument/2006/extended-properties" xmlns:vt="http://schemas.openxmlformats.org/officeDocument/2006/docPropsVTypes">
  <Template>Styles.dotm</Template>
  <TotalTime>28</TotalTime>
  <Pages>11</Pages>
  <Words>3931</Words>
  <Characters>21622</Characters>
  <Application>Microsoft Office Word</Application>
  <DocSecurity>0</DocSecurity>
  <Lines>180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Enlargement package 2019</vt:lpstr>
    </vt:vector>
  </TitlesOfParts>
  <Company>CESE-CdR</Company>
  <LinksUpToDate>false</LinksUpToDate>
  <CharactersWithSpaces>25502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rozszerzenie na 2019 r.</dc:title>
  <dc:creator>Emma Nieddu</dc:creator>
  <cp:keywords>COR-2019-02727-00-00-AC-TRA-EN</cp:keywords>
  <dc:description>Rapporteur: HLINKA - Original language: EN - Date of document: 19/02/2020 - Date of meeting:  - External documents: COM(2019)260 - Administrator:  GONTSAROVA-PARVULESCU Darja</dc:description>
  <cp:lastModifiedBy>Agnieszka Klimaszewska</cp:lastModifiedBy>
  <cp:revision>9</cp:revision>
  <cp:lastPrinted>2019-10-18T07:23:00Z</cp:lastPrinted>
  <dcterms:created xsi:type="dcterms:W3CDTF">2020-02-14T13:08:00Z</dcterms:created>
  <dcterms:modified xsi:type="dcterms:W3CDTF">2020-02-19T14:21:00Z</dcterms:modified>
  <cp:category>CIVEX-VI/42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14/02/2020, 14/02/2020, 18/12/2019, 21/11/2019, 21/11/2019, 18/10/2019, 18/10/2019</vt:lpwstr>
  </property>
  <property fmtid="{D5CDD505-2E9C-101B-9397-08002B2CF9AE}" pid="4" name="Pref_Time">
    <vt:lpwstr>13:51:24, 12:40:12, 09:34:28, 13:09:59, 13:04:01, 11:55:54, 11:48:39</vt:lpwstr>
  </property>
  <property fmtid="{D5CDD505-2E9C-101B-9397-08002B2CF9AE}" pid="5" name="Pref_User">
    <vt:lpwstr>mkop, ssex, hnic, mkop, htoo, amett, htoo</vt:lpwstr>
  </property>
  <property fmtid="{D5CDD505-2E9C-101B-9397-08002B2CF9AE}" pid="6" name="Pref_FileName">
    <vt:lpwstr>COR-2019-02727-00-00-AC-TRA-EN-CRR.docx, COR-2019-02727-00-00-AC-CRR-EN.docx, COR-2019-02727-00-01-PAC-ORI.docx, COR-2019-02727-00-00-PAC-TRA-EN-CRR.docx, COR-2019-02727-00-00-PAC-CRR-EN.docx, COR-2019-02727-00-00-PA-TRA-EN-CRR.docx, COR-2019-02727-00-00-</vt:lpwstr>
  </property>
  <property fmtid="{D5CDD505-2E9C-101B-9397-08002B2CF9AE}" pid="7" name="ContentTypeId">
    <vt:lpwstr>0x010100EA97B91038054C99906057A708A1480A000B8126D8DB4058449AFEEA4648410E79</vt:lpwstr>
  </property>
  <property fmtid="{D5CDD505-2E9C-101B-9397-08002B2CF9AE}" pid="8" name="_dlc_DocIdItemGuid">
    <vt:lpwstr>157fac73-5db7-408c-a2b4-97869a2c8eb6</vt:lpwstr>
  </property>
  <property fmtid="{D5CDD505-2E9C-101B-9397-08002B2CF9AE}" pid="9" name="AvailableTranslations">
    <vt:lpwstr>24;#LV|46f7e311-5d9f-4663-b433-18aeccb7ace7;#37;#MT|7df99101-6854-4a26-b53a-b88c0da02c26;#23;#FI|87606a43-d45f-42d6-b8c9-e1a3457db5b7;#21;#RO|feb747a2-64cd-4299-af12-4833ddc30497;#29;#DE|f6b31e5a-26fa-4935-b661-318e46daf27e;#17;#SV|c2ed69e7-a339-43d7-8f22-d93680a92aa0;#36;#PT|50ccc04a-eadd-42ae-a0cb-acaf45f812ba;#30;#HR|2f555653-ed1a-4fe6-8362-9082d95989e5;#13;#ES|e7a6b05b-ae16-40c8-add9-68b64b03aeba;#25;#DA|5d49c027-8956-412b-aa16-e85a0f96ad0e;#32;#LT|a7ff5ce7-6123-4f68-865a-a57c31810414;#7;#FR|d2afafd3-4c81-4f60-8f52-ee33f2f54ff3;#20;#EL|6d4f4d51-af9b-4650-94b4-4276bee85c91;#18;#PL|1e03da61-4678-4e07-b136-b5024ca9197b;#38;#ET|ff6c3f4c-b02c-4c3c-ab07-2c37995a7a0a;#33;#SK|46d9fce0-ef79-4f71-b89b-cd6aa82426b8;#22;#NL|55c6556c-b4f4-441d-9acf-c498d4f838bd;#40;#HU|6b229040-c589-4408-b4c1-4285663d20a8;#9;#EN|f2175f21-25d7-44a3-96da-d6a61b075e1b;#27;#SL|98a412ae-eb01-49e9-ae3d-585a81724cfc;#35;#BG|1a1b3951-7821-4e6a-85f5-5673fc08bd2c;#28;#CS|72f9705b-0217-4fd3-bea2-cbc7ed80e26e;#47;#GA|762d2456-c427-4ecb-b312-af3dad8e258c;#4;#IT|0774613c-01ed-4e5d-a25d-11d2388de825</vt:lpwstr>
  </property>
  <property fmtid="{D5CDD505-2E9C-101B-9397-08002B2CF9AE}" pid="10" name="DocumentType_0">
    <vt:lpwstr>AC|a4cc1d15-fb08-4679-ad46-e4e0cba5fe92</vt:lpwstr>
  </property>
  <property fmtid="{D5CDD505-2E9C-101B-9397-08002B2CF9AE}" pid="11" name="DossierName_0">
    <vt:lpwstr>CIVEX-VI|e92fc6b6-a39d-4ec0-a9fe-54e321eead59</vt:lpwstr>
  </property>
  <property fmtid="{D5CDD505-2E9C-101B-9397-08002B2CF9AE}" pid="12" name="DocumentSource_0">
    <vt:lpwstr>CoR|cb2d75ef-4a7d-4393-b797-49ed6298a5ea</vt:lpwstr>
  </property>
  <property fmtid="{D5CDD505-2E9C-101B-9397-08002B2CF9AE}" pid="13" name="DocumentNumber">
    <vt:i4>2727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ssierNumber">
    <vt:i4>42</vt:i4>
  </property>
  <property fmtid="{D5CDD505-2E9C-101B-9397-08002B2CF9AE}" pid="17" name="DocumentStatus">
    <vt:lpwstr>2;#TRA|150d2a88-1431-44e6-a8ca-0bb753ab8672</vt:lpwstr>
  </property>
  <property fmtid="{D5CDD505-2E9C-101B-9397-08002B2CF9AE}" pid="18" name="DocumentPart">
    <vt:i4>0</vt:i4>
  </property>
  <property fmtid="{D5CDD505-2E9C-101B-9397-08002B2CF9AE}" pid="19" name="DossierName">
    <vt:lpwstr>87;#CIVEX-VI|e92fc6b6-a39d-4ec0-a9fe-54e321eead59</vt:lpwstr>
  </property>
  <property fmtid="{D5CDD505-2E9C-101B-9397-08002B2CF9AE}" pid="20" name="DocumentSource">
    <vt:lpwstr>1;#CoR|cb2d75ef-4a7d-4393-b797-49ed6298a5ea</vt:lpwstr>
  </property>
  <property fmtid="{D5CDD505-2E9C-101B-9397-08002B2CF9AE}" pid="21" name="AdoptionDate">
    <vt:filetime>2020-02-12T12:00:00Z</vt:filetime>
  </property>
  <property fmtid="{D5CDD505-2E9C-101B-9397-08002B2CF9AE}" pid="22" name="DocumentType">
    <vt:lpwstr>98;#AC|a4cc1d15-fb08-4679-ad46-e4e0cba5fe92</vt:lpwstr>
  </property>
  <property fmtid="{D5CDD505-2E9C-101B-9397-08002B2CF9AE}" pid="23" name="RequestingService">
    <vt:lpwstr>Affaires constitutionnelles</vt:lpwstr>
  </property>
  <property fmtid="{D5CDD505-2E9C-101B-9397-08002B2CF9AE}" pid="24" name="Confidentiality">
    <vt:lpwstr>10;#Unrestricted|826e22d7-d029-4ec0-a450-0c28ff673572</vt:lpwstr>
  </property>
  <property fmtid="{D5CDD505-2E9C-101B-9397-08002B2CF9AE}" pid="25" name="MeetingName_0">
    <vt:lpwstr/>
  </property>
  <property fmtid="{D5CDD505-2E9C-101B-9397-08002B2CF9AE}" pid="26" name="Confidentiality_0">
    <vt:lpwstr>Unrestricted|826e22d7-d029-4ec0-a450-0c28ff673572</vt:lpwstr>
  </property>
  <property fmtid="{D5CDD505-2E9C-101B-9397-08002B2CF9AE}" pid="27" name="OriginalLanguage">
    <vt:lpwstr>9;#EN|f2175f21-25d7-44a3-96da-d6a61b075e1b</vt:lpwstr>
  </property>
  <property fmtid="{D5CDD505-2E9C-101B-9397-08002B2CF9AE}" pid="28" name="MeetingName">
    <vt:lpwstr/>
  </property>
  <property fmtid="{D5CDD505-2E9C-101B-9397-08002B2CF9AE}" pid="30" name="AvailableTranslations_0">
    <vt:lpwstr>MT|7df99101-6854-4a26-b53a-b88c0da02c26;FI|87606a43-d45f-42d6-b8c9-e1a3457db5b7;DE|f6b31e5a-26fa-4935-b661-318e46daf27e;SV|c2ed69e7-a339-43d7-8f22-d93680a92aa0;PT|50ccc04a-eadd-42ae-a0cb-acaf45f812ba;ES|e7a6b05b-ae16-40c8-add9-68b64b03aeba;DA|5d49c027-8956-412b-aa16-e85a0f96ad0e;EL|6d4f4d51-af9b-4650-94b4-4276bee85c91;ET|ff6c3f4c-b02c-4c3c-ab07-2c37995a7a0a;NL|55c6556c-b4f4-441d-9acf-c498d4f838bd;HU|6b229040-c589-4408-b4c1-4285663d20a8;EN|f2175f21-25d7-44a3-96da-d6a61b075e1b;BG|1a1b3951-7821-4e6a-85f5-5673fc08bd2c;CS|72f9705b-0217-4fd3-bea2-cbc7ed80e26e</vt:lpwstr>
  </property>
  <property fmtid="{D5CDD505-2E9C-101B-9397-08002B2CF9AE}" pid="31" name="DocumentStatus_0">
    <vt:lpwstr>TRA|150d2a88-1431-44e6-a8ca-0bb753ab8672</vt:lpwstr>
  </property>
  <property fmtid="{D5CDD505-2E9C-101B-9397-08002B2CF9AE}" pid="32" name="OriginalLanguage_0">
    <vt:lpwstr>EN|f2175f21-25d7-44a3-96da-d6a61b075e1b</vt:lpwstr>
  </property>
  <property fmtid="{D5CDD505-2E9C-101B-9397-08002B2CF9AE}" pid="33" name="TaxCatchAll">
    <vt:lpwstr>36;#PT|50ccc04a-eadd-42ae-a0cb-acaf45f812ba;#35;#BG|1a1b3951-7821-4e6a-85f5-5673fc08bd2c;#38;#ET|ff6c3f4c-b02c-4c3c-ab07-2c37995a7a0a;#13;#ES|e7a6b05b-ae16-40c8-add9-68b64b03aeba;#29;#DE|f6b31e5a-26fa-4935-b661-318e46daf27e;#28;#CS|72f9705b-0217-4fd3-bea2-cbc7ed80e26e;#25;#DA|5d49c027-8956-412b-aa16-e85a0f96ad0e;#98;#AC|a4cc1d15-fb08-4679-ad46-e4e0cba5fe92;#23;#FI|87606a43-d45f-42d6-b8c9-e1a3457db5b7;#22;#NL|55c6556c-b4f4-441d-9acf-c498d4f838bd;#20;#EL|6d4f4d51-af9b-4650-94b4-4276bee85c91;#17;#SV|c2ed69e7-a339-43d7-8f22-d93680a92aa0;#87;#CIVEX-VI|e92fc6b6-a39d-4ec0-a9fe-54e321eead59;#10;#Unrestricted|826e22d7-d029-4ec0-a450-0c28ff673572;#9;#EN|f2175f21-25d7-44a3-96da-d6a61b075e1b;#6;#Final|ea5e6674-7b27-4bac-b091-73adbb394efe;#40;#HU|6b229040-c589-4408-b4c1-4285663d20a8;#2;#TRA|150d2a88-1431-44e6-a8ca-0bb753ab8672;#1;#CoR|cb2d75ef-4a7d-4393-b797-49ed6298a5ea;#37;#MT|7df99101-6854-4a26-b53a-b88c0da02c26</vt:lpwstr>
  </property>
  <property fmtid="{D5CDD505-2E9C-101B-9397-08002B2CF9AE}" pid="34" name="Rapporteur">
    <vt:lpwstr>HLINKA</vt:lpwstr>
  </property>
  <property fmtid="{D5CDD505-2E9C-101B-9397-08002B2CF9AE}" pid="35" name="VersionStatus_0">
    <vt:lpwstr>Final|ea5e6674-7b27-4bac-b091-73adbb394efe</vt:lpwstr>
  </property>
  <property fmtid="{D5CDD505-2E9C-101B-9397-08002B2CF9AE}" pid="36" name="VersionStatus">
    <vt:lpwstr>6;#Final|ea5e6674-7b27-4bac-b091-73adbb394efe</vt:lpwstr>
  </property>
  <property fmtid="{D5CDD505-2E9C-101B-9397-08002B2CF9AE}" pid="37" name="DocumentYear">
    <vt:i4>2019</vt:i4>
  </property>
  <property fmtid="{D5CDD505-2E9C-101B-9397-08002B2CF9AE}" pid="38" name="FicheNumber">
    <vt:i4>1561</vt:i4>
  </property>
  <property fmtid="{D5CDD505-2E9C-101B-9397-08002B2CF9AE}" pid="39" name="DocumentLanguage">
    <vt:lpwstr>18;#PL|1e03da61-4678-4e07-b136-b5024ca9197b</vt:lpwstr>
  </property>
</Properties>
</file>