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9" w:type="dxa"/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183B81" w:rsidRPr="00836057" w14:paraId="6E143ABD" w14:textId="77777777">
        <w:trPr>
          <w:cantSplit/>
        </w:trPr>
        <w:tc>
          <w:tcPr>
            <w:tcW w:w="4644" w:type="dxa"/>
          </w:tcPr>
          <w:p w14:paraId="567CE6C2" w14:textId="76B33DB2" w:rsidR="000D6A84" w:rsidRPr="00836057" w:rsidRDefault="00F860A6" w:rsidP="00833949">
            <w:bookmarkStart w:id="0" w:name="_GoBack"/>
            <w:bookmarkEnd w:id="0"/>
            <w:r w:rsidRPr="00836057">
              <w:rPr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6192" behindDoc="1" locked="0" layoutInCell="0" allowOverlap="1" wp14:anchorId="7CAE2654" wp14:editId="4001605F">
                      <wp:simplePos x="0" y="0"/>
                      <wp:positionH relativeFrom="page">
                        <wp:posOffset>6769100</wp:posOffset>
                      </wp:positionH>
                      <wp:positionV relativeFrom="page">
                        <wp:posOffset>10081260</wp:posOffset>
                      </wp:positionV>
                      <wp:extent cx="647700" cy="396240"/>
                      <wp:effectExtent l="0" t="0" r="0" b="3810"/>
                      <wp:wrapNone/>
                      <wp:docPr id="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D9ABD9B" w14:textId="77777777" w:rsidR="00444A98" w:rsidRPr="00836057" w:rsidRDefault="00444A9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48"/>
                                    </w:rPr>
                                  </w:pPr>
                                  <w:r w:rsidRPr="00836057">
                                    <w:rPr>
                                      <w:rFonts w:ascii="Arial" w:hAnsi="Arial"/>
                                      <w:b/>
                                      <w:bCs/>
                                      <w:sz w:val="48"/>
                                    </w:rPr>
                                    <w:t>PT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AE265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533pt;margin-top:793.8pt;width:51pt;height:31.2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reQtQIAALgFAAAOAAAAZHJzL2Uyb0RvYy54bWysVNtunDAQfa/Uf7D8TrjEyy4obJUsS1Up&#10;vUhJP8ALZrEKNrW9C2nVf+/Y7C3JS9WWB2R7xmfOzBzPzbuxa9GeKc2lyHB4FWDERCkrLrYZ/vpY&#10;eAuMtKGioq0ULMNPTON3y7dvboY+ZZFsZFsxhQBE6HToM9wY06e+r8uGdVRfyZ4JMNZSddTAVm39&#10;StEB0LvWj4Ig9gepql7JkmkNp/lkxEuHX9esNJ/rWjOD2gwDN+P+yv039u8vb2i6VbRveHmgQf+C&#10;RUe5gKAnqJwainaKv4LqeKmklrW5KmXny7rmJXM5QDZh8CKbh4b2zOUCxdH9qUz6/8GWn/ZfFOJV&#10;hiOMBO2gRY9sNOhOjujaVmfodQpODz24mRGOocsuU93fy/KbRkKuGiq27FYpOTSMVsAutDf9i6sT&#10;jrYgm+GjrCAM3RnpgMZadbZ0UAwE6NClp1NnLJUSDmMynwdgKcF0ncQRcZ3zaXq83Ctt3jPZIbvI&#10;sILGO3C6v9fGkqHp0cXGErLgbeua34pnB+A4nUBouGptloTr5c8kSNaL9YJ4JIrXHgny3LstVsSL&#10;i3A+y6/z1SoPf9m4IUkbXlVM2DBHXYXkz/p2UPikiJOytGx5ZeEsJa22m1Wr0J6Crgv3uZKD5ezm&#10;P6fhigC5vEgphGLeRYlXxIu5Rwoy85J5sPCCMLlL4oAkJC+ep3TPBfv3lNCQ4WQWzSYtnUm/yC1w&#10;3+vcaNpxA5Oj5V2GFycnmloFrkXlWmsob6f1RSks/XMpoN3HRju9WolOYjXjZgQUK+KNrJ5AuUqC&#10;skCEMO5g0Uj1A6MBRkeG9fcdVQyj9oMA9SchAX0i4zZkNo9goy4tm0sLFSVAZdhgNC1XZppPu17x&#10;bQORpvcm5C28mJo7NZ9ZHd4ZjAeX1GGU2flzuXde54G7/A0AAP//AwBQSwMEFAAGAAgAAAAhAOtU&#10;MVreAAAADwEAAA8AAABkcnMvZG93bnJldi54bWxMT0FOwzAQvCPxB2uRuFG7iJgQ4lQIxBVEgUq9&#10;ufE2iYjXUew24fdsT/Q2szOanSlXs+/FEcfYBTKwXCgQSHVwHTUGvj5fb3IQMVlytg+EBn4xwqq6&#10;vCht4cJEH3hcp0ZwCMXCGmhTGgopY92it3ERBiTW9mH0NjEdG+lGO3G47+WtUlp62xF/aO2Azy3W&#10;P+uDN/D9tt9u7tR78+KzYQqzkuQfpDHXV/PTI4iEc/o3w6k+V4eKO+3CgVwUPXOlNY9JjLL8XoM4&#10;eZY659uOkc6UAlmV8nxH9QcAAP//AwBQSwECLQAUAAYACAAAACEAtoM4kv4AAADhAQAAEwAAAAAA&#10;AAAAAAAAAAAAAAAAW0NvbnRlbnRfVHlwZXNdLnhtbFBLAQItABQABgAIAAAAIQA4/SH/1gAAAJQB&#10;AAALAAAAAAAAAAAAAAAAAC8BAABfcmVscy8ucmVsc1BLAQItABQABgAIAAAAIQC0IreQtQIAALgF&#10;AAAOAAAAAAAAAAAAAAAAAC4CAABkcnMvZTJvRG9jLnhtbFBLAQItABQABgAIAAAAIQDrVDFa3gAA&#10;AA8BAAAPAAAAAAAAAAAAAAAAAA8FAABkcnMvZG93bnJldi54bWxQSwUGAAAAAAQABADzAAAAGgYA&#10;AAAA&#10;" o:allowincell="f" filled="f" stroked="f">
                      <v:textbox>
                        <w:txbxContent>
                          <w:p w14:paraId="6D9ABD9B" w14:textId="77777777" w:rsidR="00444A98" w:rsidRPr="00836057" w:rsidRDefault="00444A9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 w:rsidRPr="00836057"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PT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F37BEB" w:rsidRPr="00836057">
              <w:rPr>
                <w:lang w:eastAsia="en-GB"/>
              </w:rPr>
              <w:drawing>
                <wp:inline distT="0" distB="0" distL="0" distR="0" wp14:anchorId="089C3004" wp14:editId="56E051E9">
                  <wp:extent cx="1799590" cy="1558925"/>
                  <wp:effectExtent l="0" t="0" r="0" b="3175"/>
                  <wp:docPr id="1" name="Picture 1" title="CoRLogo_P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558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5" w:type="dxa"/>
          </w:tcPr>
          <w:p w14:paraId="10AD9405" w14:textId="77777777" w:rsidR="000D6A84" w:rsidRPr="00836057" w:rsidRDefault="000D6A84" w:rsidP="00833949"/>
        </w:tc>
      </w:tr>
      <w:tr w:rsidR="00183B81" w:rsidRPr="00836057" w14:paraId="39225CBB" w14:textId="77777777">
        <w:trPr>
          <w:cantSplit/>
        </w:trPr>
        <w:tc>
          <w:tcPr>
            <w:tcW w:w="9289" w:type="dxa"/>
            <w:gridSpan w:val="2"/>
          </w:tcPr>
          <w:p w14:paraId="191E43F9" w14:textId="77777777" w:rsidR="004218F5" w:rsidRPr="00836057" w:rsidRDefault="004218F5" w:rsidP="00833949">
            <w:pPr>
              <w:jc w:val="right"/>
              <w:rPr>
                <w:b/>
                <w:bCs/>
                <w:sz w:val="28"/>
              </w:rPr>
            </w:pPr>
            <w:r w:rsidRPr="00836057">
              <w:rPr>
                <w:b/>
                <w:sz w:val="28"/>
              </w:rPr>
              <w:t xml:space="preserve">CIVEX-VI/042 </w:t>
            </w:r>
          </w:p>
        </w:tc>
      </w:tr>
      <w:tr w:rsidR="00183B81" w:rsidRPr="00836057" w14:paraId="68DB52E6" w14:textId="77777777">
        <w:tc>
          <w:tcPr>
            <w:tcW w:w="9289" w:type="dxa"/>
            <w:gridSpan w:val="2"/>
          </w:tcPr>
          <w:p w14:paraId="764C5164" w14:textId="77777777" w:rsidR="004218F5" w:rsidRPr="00836057" w:rsidRDefault="00B221E7" w:rsidP="0004792D">
            <w:pPr>
              <w:jc w:val="center"/>
              <w:rPr>
                <w:b/>
                <w:bCs/>
                <w:sz w:val="28"/>
              </w:rPr>
            </w:pPr>
            <w:r w:rsidRPr="00836057">
              <w:rPr>
                <w:b/>
                <w:sz w:val="28"/>
              </w:rPr>
              <w:t>138.ª reunião plenária de 11 e 12 de fevereiro de 2020</w:t>
            </w:r>
          </w:p>
        </w:tc>
      </w:tr>
    </w:tbl>
    <w:p w14:paraId="746DC58B" w14:textId="77777777" w:rsidR="00444A98" w:rsidRPr="00836057" w:rsidRDefault="00444A98"/>
    <w:p w14:paraId="324057EA" w14:textId="510C2DEA" w:rsidR="001B33A4" w:rsidRPr="00836057" w:rsidRDefault="00444A98">
      <w:pPr>
        <w:jc w:val="center"/>
        <w:rPr>
          <w:b/>
          <w:bCs/>
          <w:sz w:val="28"/>
        </w:rPr>
      </w:pPr>
      <w:r w:rsidRPr="00836057">
        <w:rPr>
          <w:b/>
          <w:bCs/>
          <w:sz w:val="28"/>
        </w:rPr>
        <w:t>PARECER</w:t>
      </w:r>
    </w:p>
    <w:p w14:paraId="69796D91" w14:textId="77777777" w:rsidR="004218F5" w:rsidRPr="00836057" w:rsidRDefault="004218F5" w:rsidP="001B0588"/>
    <w:p w14:paraId="726D5167" w14:textId="77777777" w:rsidR="004218F5" w:rsidRPr="00836057" w:rsidRDefault="004218F5">
      <w:pPr>
        <w:jc w:val="center"/>
        <w:rPr>
          <w:sz w:val="28"/>
        </w:rPr>
      </w:pPr>
      <w:r w:rsidRPr="00836057">
        <w:rPr>
          <w:b/>
          <w:sz w:val="28"/>
        </w:rPr>
        <w:t>Pacote Alargamento 2019</w:t>
      </w:r>
    </w:p>
    <w:p w14:paraId="3C658FD8" w14:textId="77777777" w:rsidR="00B37612" w:rsidRPr="00836057" w:rsidRDefault="00B3761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3"/>
      </w:tblGrid>
      <w:tr w:rsidR="0009583E" w:rsidRPr="00836057" w14:paraId="163C4620" w14:textId="77777777" w:rsidTr="00281B96">
        <w:tc>
          <w:tcPr>
            <w:tcW w:w="9063" w:type="dxa"/>
          </w:tcPr>
          <w:p w14:paraId="21EAD5E4" w14:textId="77777777" w:rsidR="0009583E" w:rsidRPr="00836057" w:rsidRDefault="0009583E" w:rsidP="00281B96">
            <w:pPr>
              <w:overflowPunct w:val="0"/>
              <w:autoSpaceDE w:val="0"/>
              <w:autoSpaceDN w:val="0"/>
              <w:ind w:left="426" w:hanging="426"/>
              <w:textAlignment w:val="baseline"/>
              <w:rPr>
                <w:sz w:val="20"/>
                <w:szCs w:val="20"/>
              </w:rPr>
            </w:pPr>
            <w:r w:rsidRPr="00836057">
              <w:rPr>
                <w:sz w:val="20"/>
                <w:szCs w:val="20"/>
              </w:rPr>
              <w:t>O COMITÉ DAS REGIÕES EUROPEU</w:t>
            </w:r>
          </w:p>
          <w:p w14:paraId="491C4346" w14:textId="77777777" w:rsidR="0009583E" w:rsidRPr="00836057" w:rsidRDefault="0009583E" w:rsidP="00406B9D">
            <w:pPr>
              <w:numPr>
                <w:ilvl w:val="0"/>
                <w:numId w:val="70"/>
              </w:numPr>
              <w:autoSpaceDE w:val="0"/>
              <w:autoSpaceDN w:val="0"/>
              <w:spacing w:line="240" w:lineRule="auto"/>
              <w:ind w:left="316" w:hanging="284"/>
              <w:rPr>
                <w:sz w:val="20"/>
                <w:szCs w:val="20"/>
              </w:rPr>
            </w:pPr>
            <w:r w:rsidRPr="00836057">
              <w:rPr>
                <w:sz w:val="20"/>
                <w:szCs w:val="20"/>
              </w:rPr>
              <w:t>apoia o reconhecimento pela Comissão de que o alargamento da UE constitui um investimento geoestratégico na paz, na estabilidade, na segurança e no crescimento económico;</w:t>
            </w:r>
          </w:p>
          <w:p w14:paraId="5C4DBE27" w14:textId="77777777" w:rsidR="0009583E" w:rsidRPr="00836057" w:rsidRDefault="0009583E" w:rsidP="00406B9D">
            <w:pPr>
              <w:numPr>
                <w:ilvl w:val="0"/>
                <w:numId w:val="70"/>
              </w:numPr>
              <w:autoSpaceDE w:val="0"/>
              <w:autoSpaceDN w:val="0"/>
              <w:spacing w:line="240" w:lineRule="auto"/>
              <w:ind w:left="316" w:hanging="284"/>
              <w:rPr>
                <w:sz w:val="20"/>
                <w:szCs w:val="20"/>
              </w:rPr>
            </w:pPr>
            <w:r w:rsidRPr="00836057">
              <w:rPr>
                <w:sz w:val="20"/>
                <w:szCs w:val="20"/>
              </w:rPr>
              <w:t>sublinha que os princípios europeus de subsidiariedade, proporcionalidade e governação a vários níveis devem igualmente aplicar-se ao processo de alargamento da UE;</w:t>
            </w:r>
          </w:p>
          <w:p w14:paraId="2D84C353" w14:textId="77777777" w:rsidR="0009583E" w:rsidRPr="00836057" w:rsidRDefault="0009583E" w:rsidP="00406B9D">
            <w:pPr>
              <w:numPr>
                <w:ilvl w:val="0"/>
                <w:numId w:val="70"/>
              </w:numPr>
              <w:autoSpaceDE w:val="0"/>
              <w:autoSpaceDN w:val="0"/>
              <w:spacing w:line="240" w:lineRule="auto"/>
              <w:ind w:left="316" w:hanging="284"/>
              <w:rPr>
                <w:sz w:val="20"/>
                <w:szCs w:val="20"/>
              </w:rPr>
            </w:pPr>
            <w:r w:rsidRPr="00836057">
              <w:rPr>
                <w:sz w:val="20"/>
                <w:szCs w:val="20"/>
              </w:rPr>
              <w:t>observa com grande preocupação que o bom funcionamento das instituições democráticas e a realização de progressos credíveis no domínio do Estado de direito continuam a constituir um desafio fulcral na região;</w:t>
            </w:r>
          </w:p>
          <w:p w14:paraId="594602DE" w14:textId="77777777" w:rsidR="0009583E" w:rsidRPr="00836057" w:rsidRDefault="0009583E" w:rsidP="00406B9D">
            <w:pPr>
              <w:numPr>
                <w:ilvl w:val="0"/>
                <w:numId w:val="70"/>
              </w:numPr>
              <w:autoSpaceDE w:val="0"/>
              <w:autoSpaceDN w:val="0"/>
              <w:spacing w:line="240" w:lineRule="auto"/>
              <w:ind w:left="316" w:hanging="284"/>
              <w:rPr>
                <w:sz w:val="20"/>
                <w:szCs w:val="20"/>
              </w:rPr>
            </w:pPr>
            <w:r w:rsidRPr="00836057">
              <w:rPr>
                <w:sz w:val="20"/>
                <w:szCs w:val="20"/>
              </w:rPr>
              <w:t>acolhe favoravelmente o facto de a proposta relativa ao Instrumento de Assistência de Pré-Adesão (IPA III) prever uma prestação de assistência mais estratégica e dinâmica; insta a Comissão a promover o reforço das capacidades e competências dos órgãos de poder local e regional através de instrumentos concretos;</w:t>
            </w:r>
          </w:p>
          <w:p w14:paraId="6DE8F5EF" w14:textId="77777777" w:rsidR="0009583E" w:rsidRPr="00836057" w:rsidRDefault="0009583E" w:rsidP="00406B9D">
            <w:pPr>
              <w:pStyle w:val="Heading1"/>
              <w:numPr>
                <w:ilvl w:val="0"/>
                <w:numId w:val="70"/>
              </w:numPr>
              <w:spacing w:line="240" w:lineRule="auto"/>
              <w:ind w:left="316" w:hanging="284"/>
              <w:rPr>
                <w:sz w:val="20"/>
                <w:szCs w:val="20"/>
              </w:rPr>
            </w:pPr>
            <w:r w:rsidRPr="00836057">
              <w:rPr>
                <w:sz w:val="20"/>
                <w:szCs w:val="20"/>
              </w:rPr>
              <w:t>apoia os princípios de uma condicionalidade justa e rigorosa e de «prioridade aos aspetos fundamentais»;</w:t>
            </w:r>
          </w:p>
          <w:p w14:paraId="1D2FB242" w14:textId="77777777" w:rsidR="0009583E" w:rsidRPr="00836057" w:rsidRDefault="0009583E" w:rsidP="00406B9D">
            <w:pPr>
              <w:pStyle w:val="Heading1"/>
              <w:numPr>
                <w:ilvl w:val="0"/>
                <w:numId w:val="70"/>
              </w:numPr>
              <w:spacing w:line="240" w:lineRule="auto"/>
              <w:ind w:left="316" w:hanging="284"/>
              <w:rPr>
                <w:sz w:val="20"/>
                <w:szCs w:val="20"/>
              </w:rPr>
            </w:pPr>
            <w:r w:rsidRPr="00836057">
              <w:rPr>
                <w:sz w:val="20"/>
                <w:szCs w:val="20"/>
              </w:rPr>
              <w:t>manifesta preocupação com a crescente hostilidade em relação à sociedade civil e com a diminuição da liberdade de expressão;</w:t>
            </w:r>
          </w:p>
          <w:p w14:paraId="49D65F20" w14:textId="77777777" w:rsidR="0009583E" w:rsidRPr="00836057" w:rsidRDefault="0009583E" w:rsidP="00406B9D">
            <w:pPr>
              <w:numPr>
                <w:ilvl w:val="0"/>
                <w:numId w:val="70"/>
              </w:numPr>
              <w:autoSpaceDE w:val="0"/>
              <w:autoSpaceDN w:val="0"/>
              <w:spacing w:line="240" w:lineRule="auto"/>
              <w:ind w:left="316" w:hanging="284"/>
              <w:rPr>
                <w:sz w:val="20"/>
                <w:szCs w:val="20"/>
              </w:rPr>
            </w:pPr>
            <w:r w:rsidRPr="00836057">
              <w:rPr>
                <w:sz w:val="20"/>
                <w:szCs w:val="20"/>
              </w:rPr>
              <w:t>está convicto de que os órgãos de poder local e regional podem resolver alguns dos problemas em matéria de Estado de direito e de direitos fundamentais e tomar medidas para combater a discriminação;</w:t>
            </w:r>
          </w:p>
          <w:p w14:paraId="400C1D9A" w14:textId="77777777" w:rsidR="0009583E" w:rsidRPr="00836057" w:rsidRDefault="0009583E" w:rsidP="00406B9D">
            <w:pPr>
              <w:numPr>
                <w:ilvl w:val="0"/>
                <w:numId w:val="70"/>
              </w:numPr>
              <w:autoSpaceDE w:val="0"/>
              <w:autoSpaceDN w:val="0"/>
              <w:spacing w:line="240" w:lineRule="auto"/>
              <w:ind w:left="316" w:hanging="284"/>
              <w:rPr>
                <w:sz w:val="20"/>
                <w:szCs w:val="20"/>
              </w:rPr>
            </w:pPr>
            <w:r w:rsidRPr="00836057">
              <w:rPr>
                <w:sz w:val="20"/>
                <w:szCs w:val="20"/>
              </w:rPr>
              <w:t>saúda o histórico Acordo de Prespa alcançado pela Macedónia do Norte e pela Grécia;</w:t>
            </w:r>
          </w:p>
          <w:p w14:paraId="2BD861A8" w14:textId="77777777" w:rsidR="0009583E" w:rsidRPr="00836057" w:rsidRDefault="0009583E" w:rsidP="00406B9D">
            <w:pPr>
              <w:numPr>
                <w:ilvl w:val="0"/>
                <w:numId w:val="70"/>
              </w:numPr>
              <w:autoSpaceDE w:val="0"/>
              <w:autoSpaceDN w:val="0"/>
              <w:spacing w:line="240" w:lineRule="auto"/>
              <w:ind w:left="316" w:hanging="284"/>
              <w:rPr>
                <w:sz w:val="20"/>
                <w:szCs w:val="20"/>
              </w:rPr>
            </w:pPr>
            <w:r w:rsidRPr="00836057">
              <w:rPr>
                <w:sz w:val="20"/>
                <w:szCs w:val="20"/>
              </w:rPr>
              <w:t>apoia plenamente a abertura de negociações de adesão com a Macedónia do Norte e a Albânia;</w:t>
            </w:r>
          </w:p>
          <w:p w14:paraId="2727332A" w14:textId="77777777" w:rsidR="0009583E" w:rsidRPr="00836057" w:rsidRDefault="0009583E" w:rsidP="00406B9D">
            <w:pPr>
              <w:numPr>
                <w:ilvl w:val="0"/>
                <w:numId w:val="70"/>
              </w:numPr>
              <w:autoSpaceDE w:val="0"/>
              <w:autoSpaceDN w:val="0"/>
              <w:spacing w:line="240" w:lineRule="auto"/>
              <w:ind w:left="316" w:hanging="284"/>
              <w:rPr>
                <w:sz w:val="20"/>
                <w:szCs w:val="20"/>
              </w:rPr>
            </w:pPr>
            <w:r w:rsidRPr="00836057">
              <w:rPr>
                <w:sz w:val="20"/>
                <w:szCs w:val="20"/>
              </w:rPr>
              <w:t>observa com preocupação que a Sérvia e o Montenegro têm de agir ainda com maior determinação em domínios cruciais, particularmente no sentido da despolarização do contexto político;</w:t>
            </w:r>
          </w:p>
          <w:p w14:paraId="25E29086" w14:textId="77777777" w:rsidR="0009583E" w:rsidRPr="00836057" w:rsidRDefault="0009583E" w:rsidP="00406B9D">
            <w:pPr>
              <w:numPr>
                <w:ilvl w:val="0"/>
                <w:numId w:val="70"/>
              </w:numPr>
              <w:autoSpaceDE w:val="0"/>
              <w:autoSpaceDN w:val="0"/>
              <w:spacing w:line="240" w:lineRule="auto"/>
              <w:ind w:left="316" w:hanging="284"/>
              <w:rPr>
                <w:sz w:val="20"/>
                <w:szCs w:val="20"/>
              </w:rPr>
            </w:pPr>
            <w:r w:rsidRPr="00836057">
              <w:rPr>
                <w:sz w:val="20"/>
                <w:szCs w:val="20"/>
              </w:rPr>
              <w:t>reitera a sua extrema preocupação e consternação pelo facto de não serem realizadas eleições locais desde 2008 em Mostar (Bósnia-Herzegovina);</w:t>
            </w:r>
          </w:p>
          <w:p w14:paraId="7FCF3C58" w14:textId="77777777" w:rsidR="0009583E" w:rsidRPr="00836057" w:rsidRDefault="0009583E" w:rsidP="00406B9D">
            <w:pPr>
              <w:numPr>
                <w:ilvl w:val="0"/>
                <w:numId w:val="70"/>
              </w:numPr>
              <w:autoSpaceDE w:val="0"/>
              <w:autoSpaceDN w:val="0"/>
              <w:spacing w:line="240" w:lineRule="auto"/>
              <w:ind w:left="316" w:hanging="284"/>
              <w:rPr>
                <w:sz w:val="20"/>
                <w:szCs w:val="20"/>
              </w:rPr>
            </w:pPr>
            <w:r w:rsidRPr="00836057">
              <w:rPr>
                <w:sz w:val="20"/>
                <w:szCs w:val="20"/>
              </w:rPr>
              <w:t>solicita ao Conselho que resolva, com caráter de urgência, a questão da liberalização do regime de vistos com o Kosovo;</w:t>
            </w:r>
          </w:p>
          <w:p w14:paraId="4C4AE9BD" w14:textId="77777777" w:rsidR="0009583E" w:rsidRPr="00836057" w:rsidRDefault="0009583E" w:rsidP="00406B9D">
            <w:pPr>
              <w:numPr>
                <w:ilvl w:val="0"/>
                <w:numId w:val="70"/>
              </w:numPr>
              <w:autoSpaceDE w:val="0"/>
              <w:autoSpaceDN w:val="0"/>
              <w:spacing w:line="240" w:lineRule="auto"/>
              <w:ind w:left="316" w:hanging="284"/>
              <w:rPr>
                <w:sz w:val="20"/>
                <w:szCs w:val="20"/>
              </w:rPr>
            </w:pPr>
            <w:r w:rsidRPr="00836057">
              <w:rPr>
                <w:sz w:val="20"/>
                <w:szCs w:val="20"/>
              </w:rPr>
              <w:t>observa, com pesar, a deterioração acentuada e continuada dos direitos humanos fundamentais na Turquia, com graves retrocessos em matéria de Estado de direito e direitos fundamentais;</w:t>
            </w:r>
          </w:p>
          <w:p w14:paraId="70F5D58B" w14:textId="77777777" w:rsidR="0009583E" w:rsidRPr="00836057" w:rsidRDefault="0009583E" w:rsidP="00406B9D">
            <w:pPr>
              <w:numPr>
                <w:ilvl w:val="0"/>
                <w:numId w:val="70"/>
              </w:numPr>
              <w:overflowPunct w:val="0"/>
              <w:autoSpaceDE w:val="0"/>
              <w:autoSpaceDN w:val="0"/>
              <w:spacing w:line="240" w:lineRule="auto"/>
              <w:ind w:left="316" w:hanging="284"/>
              <w:textAlignment w:val="baseline"/>
              <w:rPr>
                <w:sz w:val="20"/>
                <w:szCs w:val="20"/>
              </w:rPr>
            </w:pPr>
            <w:r w:rsidRPr="00836057">
              <w:rPr>
                <w:sz w:val="20"/>
                <w:szCs w:val="20"/>
              </w:rPr>
              <w:t>convida os órgãos de poder local e regional da UE a reforçarem a cooperação com os seus homólogos nos países candidatos e potenciais candidatos;</w:t>
            </w:r>
          </w:p>
          <w:p w14:paraId="220E2631" w14:textId="77777777" w:rsidR="0009583E" w:rsidRPr="00836057" w:rsidRDefault="0009583E" w:rsidP="00406B9D">
            <w:pPr>
              <w:numPr>
                <w:ilvl w:val="0"/>
                <w:numId w:val="70"/>
              </w:numPr>
              <w:overflowPunct w:val="0"/>
              <w:autoSpaceDE w:val="0"/>
              <w:autoSpaceDN w:val="0"/>
              <w:spacing w:line="240" w:lineRule="auto"/>
              <w:ind w:left="316" w:hanging="284"/>
              <w:textAlignment w:val="baseline"/>
              <w:rPr>
                <w:sz w:val="20"/>
                <w:szCs w:val="20"/>
              </w:rPr>
            </w:pPr>
            <w:r w:rsidRPr="00836057">
              <w:rPr>
                <w:sz w:val="20"/>
                <w:szCs w:val="20"/>
              </w:rPr>
              <w:t>insta a Comissão Europeia a propor políticas, ferramentas e instrumentos concretos para a participação dos órgãos de poder local e regional nos Balcãs Ocidentais;</w:t>
            </w:r>
          </w:p>
          <w:p w14:paraId="13DBE079" w14:textId="77777777" w:rsidR="0009583E" w:rsidRPr="00836057" w:rsidRDefault="0009583E" w:rsidP="00406B9D">
            <w:pPr>
              <w:numPr>
                <w:ilvl w:val="0"/>
                <w:numId w:val="70"/>
              </w:numPr>
              <w:overflowPunct w:val="0"/>
              <w:autoSpaceDE w:val="0"/>
              <w:autoSpaceDN w:val="0"/>
              <w:spacing w:line="240" w:lineRule="auto"/>
              <w:ind w:left="316" w:hanging="284"/>
              <w:textAlignment w:val="baseline"/>
              <w:rPr>
                <w:sz w:val="20"/>
                <w:szCs w:val="20"/>
              </w:rPr>
            </w:pPr>
            <w:r w:rsidRPr="00836057">
              <w:rPr>
                <w:sz w:val="20"/>
                <w:szCs w:val="20"/>
              </w:rPr>
              <w:t>convida a Comissão Europeia a desenvolver um instrumento prático para apoiar o reforço eficaz das capacidades dos governos locais e regionais nos Balcãs Ocidentais;</w:t>
            </w:r>
          </w:p>
          <w:p w14:paraId="753F3E0C" w14:textId="77777777" w:rsidR="0009583E" w:rsidRPr="00836057" w:rsidRDefault="0009583E" w:rsidP="00406B9D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line="240" w:lineRule="auto"/>
              <w:ind w:left="316" w:hanging="284"/>
              <w:contextualSpacing/>
              <w:textAlignment w:val="baseline"/>
              <w:rPr>
                <w:szCs w:val="20"/>
              </w:rPr>
            </w:pPr>
            <w:r w:rsidRPr="00836057">
              <w:rPr>
                <w:sz w:val="20"/>
                <w:szCs w:val="20"/>
              </w:rPr>
              <w:t>exorta a Comissão a associar mais eficazmente os países dos Balcãs Ocidentais, incluindo os respetivos órgãos de poder local e regional, ao futuro desenvolvimento do Pacto de Autarcas e a outras iniciativas para a consecução da Agenda 2030.</w:t>
            </w:r>
          </w:p>
        </w:tc>
      </w:tr>
    </w:tbl>
    <w:p w14:paraId="1A502A77" w14:textId="77777777" w:rsidR="006E1FB3" w:rsidRPr="00836057" w:rsidRDefault="00833949">
      <w:pPr>
        <w:tabs>
          <w:tab w:val="left" w:pos="440"/>
        </w:tabs>
        <w:ind w:left="440" w:hanging="440"/>
        <w:sectPr w:rsidR="006E1FB3" w:rsidRPr="00836057" w:rsidSect="0083605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39" w:code="9"/>
          <w:pgMar w:top="1417" w:right="1417" w:bottom="1417" w:left="1417" w:header="709" w:footer="709" w:gutter="0"/>
          <w:pgNumType w:start="1"/>
          <w:cols w:space="720"/>
          <w:docGrid w:linePitch="299"/>
        </w:sectPr>
      </w:pPr>
      <w:r w:rsidRPr="00836057">
        <w:rPr>
          <w:lang w:eastAsia="en-GB"/>
        </w:rPr>
        <w:drawing>
          <wp:anchor distT="0" distB="0" distL="114300" distR="114300" simplePos="0" relativeHeight="251663360" behindDoc="0" locked="0" layoutInCell="1" allowOverlap="1" wp14:anchorId="7F883152" wp14:editId="26D915B8">
            <wp:simplePos x="0" y="0"/>
            <wp:positionH relativeFrom="margin">
              <wp:posOffset>-15571</wp:posOffset>
            </wp:positionH>
            <wp:positionV relativeFrom="page">
              <wp:posOffset>10185400</wp:posOffset>
            </wp:positionV>
            <wp:extent cx="5760000" cy="291600"/>
            <wp:effectExtent l="0" t="0" r="0" b="0"/>
            <wp:wrapSquare wrapText="bothSides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29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289"/>
      </w:tblGrid>
      <w:tr w:rsidR="00183B81" w:rsidRPr="00836057" w14:paraId="1FA00F36" w14:textId="77777777">
        <w:trPr>
          <w:trHeight w:val="12474"/>
        </w:trPr>
        <w:tc>
          <w:tcPr>
            <w:tcW w:w="9289" w:type="dxa"/>
            <w:vAlign w:val="bottom"/>
          </w:tcPr>
          <w:p w14:paraId="1079C850" w14:textId="296A24F5" w:rsidR="00511212" w:rsidRPr="00836057" w:rsidRDefault="00B37612" w:rsidP="001B0588">
            <w:pPr>
              <w:jc w:val="left"/>
            </w:pPr>
            <w:r w:rsidRPr="00836057">
              <w:rPr>
                <w:u w:val="single"/>
              </w:rPr>
              <w:lastRenderedPageBreak/>
              <w:t>Relator</w:t>
            </w:r>
          </w:p>
          <w:p w14:paraId="2B065791" w14:textId="77777777" w:rsidR="00511212" w:rsidRPr="00836057" w:rsidRDefault="00511212" w:rsidP="001B0588">
            <w:pPr>
              <w:jc w:val="left"/>
            </w:pPr>
          </w:p>
          <w:p w14:paraId="2D5A197D" w14:textId="77777777" w:rsidR="00B37612" w:rsidRPr="00836057" w:rsidRDefault="00B37612" w:rsidP="001B0588">
            <w:pPr>
              <w:jc w:val="left"/>
            </w:pPr>
            <w:r w:rsidRPr="00836057">
              <w:rPr>
                <w:b/>
              </w:rPr>
              <w:t>Jaroslav Hlinka</w:t>
            </w:r>
            <w:r w:rsidRPr="00836057">
              <w:t xml:space="preserve"> (SK-PSE), presidente do município de Košice-Sul</w:t>
            </w:r>
          </w:p>
          <w:p w14:paraId="749092A5" w14:textId="77777777" w:rsidR="00B37612" w:rsidRPr="00836057" w:rsidRDefault="00B37612" w:rsidP="001B0588">
            <w:pPr>
              <w:jc w:val="left"/>
              <w:rPr>
                <w:u w:val="single"/>
              </w:rPr>
            </w:pPr>
          </w:p>
          <w:p w14:paraId="6956B3A8" w14:textId="77777777" w:rsidR="006E1FB3" w:rsidRPr="00836057" w:rsidRDefault="006E1FB3">
            <w:pPr>
              <w:rPr>
                <w:u w:val="single"/>
              </w:rPr>
            </w:pPr>
            <w:r w:rsidRPr="00836057">
              <w:rPr>
                <w:u w:val="single"/>
              </w:rPr>
              <w:t>Textos de referência</w:t>
            </w:r>
          </w:p>
          <w:p w14:paraId="3E372DA4" w14:textId="77777777" w:rsidR="006E1FB3" w:rsidRPr="00836057" w:rsidRDefault="006E1FB3"/>
          <w:p w14:paraId="65DEBED9" w14:textId="77777777" w:rsidR="006E1FB3" w:rsidRPr="00836057" w:rsidRDefault="006E1FB3">
            <w:r w:rsidRPr="00836057">
              <w:t>Comunicação da Comissão ao Parlamento Europeu, ao Conselho, ao Comité Económico e Social Europeu e ao Comité das Regiões – Comunicação de 2019 sobre a política de alargamento da UE</w:t>
            </w:r>
          </w:p>
          <w:p w14:paraId="2D4C759B" w14:textId="77777777" w:rsidR="006E1FB3" w:rsidRPr="00836057" w:rsidRDefault="006E1FB3">
            <w:r w:rsidRPr="00836057">
              <w:t xml:space="preserve">COM(2019) 260 final; </w:t>
            </w:r>
          </w:p>
          <w:p w14:paraId="6A122109" w14:textId="77777777" w:rsidR="008B2EC3" w:rsidRPr="00836057" w:rsidRDefault="006E1FB3">
            <w:r w:rsidRPr="00836057">
              <w:t>SWD(2019) 215 final; SWD(2019) 216 final; SWD(2019) 217 final; SWD(2019) 218 final; SWD(2019) 219 final; SWD(2019) 220 final</w:t>
            </w:r>
          </w:p>
          <w:p w14:paraId="69488EED" w14:textId="6601B1E2" w:rsidR="00A928D2" w:rsidRPr="00836057" w:rsidRDefault="00A928D2"/>
        </w:tc>
      </w:tr>
    </w:tbl>
    <w:p w14:paraId="5A7460C9" w14:textId="77777777" w:rsidR="00833949" w:rsidRPr="00836057" w:rsidRDefault="00833949">
      <w:r w:rsidRPr="00836057">
        <w:br w:type="page"/>
      </w:r>
    </w:p>
    <w:p w14:paraId="3DB1D483" w14:textId="4DA07068" w:rsidR="00444A98" w:rsidRPr="00836057" w:rsidRDefault="006D61F8">
      <w:pPr>
        <w:jc w:val="center"/>
        <w:rPr>
          <w:b/>
        </w:rPr>
      </w:pPr>
      <w:r w:rsidRPr="00836057">
        <w:rPr>
          <w:b/>
        </w:rPr>
        <w:lastRenderedPageBreak/>
        <w:t>Parecer do Comité das Regiões Europeu – Pacote Alargamento 2019</w:t>
      </w:r>
    </w:p>
    <w:p w14:paraId="6A328918" w14:textId="77777777" w:rsidR="0013749C" w:rsidRPr="00836057" w:rsidRDefault="0013749C" w:rsidP="001B0588"/>
    <w:p w14:paraId="2FC23FF3" w14:textId="77777777" w:rsidR="00833949" w:rsidRPr="00836057" w:rsidRDefault="00444A98" w:rsidP="00555485">
      <w:pPr>
        <w:keepNext/>
        <w:numPr>
          <w:ilvl w:val="0"/>
          <w:numId w:val="67"/>
        </w:numPr>
        <w:ind w:left="567" w:hanging="567"/>
        <w:rPr>
          <w:b/>
        </w:rPr>
      </w:pPr>
      <w:r w:rsidRPr="00836057">
        <w:rPr>
          <w:b/>
        </w:rPr>
        <w:t>RECOMENDAÇÕES POLÍTICAS</w:t>
      </w:r>
    </w:p>
    <w:p w14:paraId="4A1C2C23" w14:textId="77777777" w:rsidR="004E0DC0" w:rsidRPr="00836057" w:rsidRDefault="004E0DC0" w:rsidP="00555485"/>
    <w:p w14:paraId="35D612E8" w14:textId="77777777" w:rsidR="008B032F" w:rsidRPr="00836057" w:rsidRDefault="00833949" w:rsidP="00555485">
      <w:r w:rsidRPr="00836057">
        <w:t>O COMITÉ DAS REGIÕES EUROPEU</w:t>
      </w:r>
    </w:p>
    <w:p w14:paraId="70A0201A" w14:textId="77777777" w:rsidR="00833949" w:rsidRPr="00836057" w:rsidRDefault="00833949" w:rsidP="00555485"/>
    <w:p w14:paraId="49FC6CC5" w14:textId="7788C5F3" w:rsidR="00833949" w:rsidRPr="00836057" w:rsidRDefault="00833949" w:rsidP="00833949">
      <w:pPr>
        <w:rPr>
          <w:b/>
        </w:rPr>
      </w:pPr>
      <w:r w:rsidRPr="00836057">
        <w:rPr>
          <w:b/>
        </w:rPr>
        <w:t>Observações gerais</w:t>
      </w:r>
    </w:p>
    <w:p w14:paraId="73E5ADFC" w14:textId="77777777" w:rsidR="00833949" w:rsidRPr="00836057" w:rsidRDefault="00833949" w:rsidP="00555485"/>
    <w:p w14:paraId="4D509661" w14:textId="77777777" w:rsidR="008B032F" w:rsidRPr="00836057" w:rsidRDefault="008B032F" w:rsidP="00555485">
      <w:pPr>
        <w:pStyle w:val="Heading1"/>
      </w:pPr>
      <w:r w:rsidRPr="00836057">
        <w:t>toma nota, com grande interesse, da comunicação da Comissão Europeia de 2019 sobre a política de alargamento da UE, dos seus relatórios por país sobre os países candidatos Albânia, Montenegro, Macedónia do Norte, Sérvia e Turquia, de um relatório sobre o Kosovo</w:t>
      </w:r>
      <w:r w:rsidRPr="00836057">
        <w:rPr>
          <w:rStyle w:val="FootnoteReference"/>
        </w:rPr>
        <w:footnoteReference w:customMarkFollows="1" w:id="1"/>
        <w:sym w:font="Symbol" w:char="F02A"/>
      </w:r>
      <w:r w:rsidRPr="00836057">
        <w:t>, bem como do parecer paralelo sobre o pedido de adesão da Bósnia-Herzegovina à União Europeia;</w:t>
      </w:r>
    </w:p>
    <w:p w14:paraId="27A5EE91" w14:textId="77777777" w:rsidR="004E0DC0" w:rsidRPr="00836057" w:rsidRDefault="004E0DC0" w:rsidP="00555485"/>
    <w:p w14:paraId="23BDF6A9" w14:textId="77777777" w:rsidR="008B032F" w:rsidRPr="00836057" w:rsidRDefault="008B032F" w:rsidP="00555485">
      <w:pPr>
        <w:pStyle w:val="Heading1"/>
      </w:pPr>
      <w:r w:rsidRPr="00836057">
        <w:t>apoia plenamente o reconhecimento pela Comissão Europeia de que o alargamento é do próprio interesse da UE do ponto de vista político, económico e da segurança, enquanto investimento geoestratégico na paz, na estabilidade, na segurança e no crescimento económico em toda a Europa;</w:t>
      </w:r>
    </w:p>
    <w:p w14:paraId="49AC7DE5" w14:textId="77777777" w:rsidR="004E0DC0" w:rsidRPr="00836057" w:rsidRDefault="004E0DC0" w:rsidP="00555485"/>
    <w:p w14:paraId="7966A57C" w14:textId="77777777" w:rsidR="008B032F" w:rsidRPr="00836057" w:rsidRDefault="008B032F" w:rsidP="00555485">
      <w:pPr>
        <w:pStyle w:val="Heading1"/>
      </w:pPr>
      <w:r w:rsidRPr="00836057">
        <w:t>congratula-se com o facto de os dirigentes da UE terem reafirmado o seu apoio inequívoco à perspetiva europeia dos Balcãs Ocidentais e de os parceiros da região terem renovado a sua adesão a esta perspetiva enquanto escolha estratégica definitiva na Cimeira UE-Balcãs Ocidentais, que teve lugar em Sófia, em maio de 2018;</w:t>
      </w:r>
    </w:p>
    <w:p w14:paraId="71E78A71" w14:textId="77777777" w:rsidR="004E0DC0" w:rsidRPr="00836057" w:rsidRDefault="004E0DC0" w:rsidP="00555485"/>
    <w:p w14:paraId="5AB70FC1" w14:textId="77777777" w:rsidR="008B032F" w:rsidRPr="00836057" w:rsidRDefault="008B032F" w:rsidP="00555485">
      <w:pPr>
        <w:pStyle w:val="Heading1"/>
      </w:pPr>
      <w:r w:rsidRPr="00836057">
        <w:t>acolhe favoravelmente o facto de a proposta da Comissão Europeia para o Instrumento de Assistência de Pré-Adesão (IPA III) no âmbito do Quadro Financeiro Plurianual 2021-2027 prever uma prestação de assistência mais estratégica e dinâmica, centrada em prioridades fundamentais;</w:t>
      </w:r>
    </w:p>
    <w:p w14:paraId="3BE43EF2" w14:textId="77777777" w:rsidR="004E0DC0" w:rsidRPr="00836057" w:rsidRDefault="004E0DC0" w:rsidP="00555485"/>
    <w:p w14:paraId="3E4FAFF8" w14:textId="77777777" w:rsidR="008B032F" w:rsidRPr="00836057" w:rsidRDefault="008B032F" w:rsidP="00555485">
      <w:pPr>
        <w:pStyle w:val="Heading1"/>
      </w:pPr>
      <w:r w:rsidRPr="00836057">
        <w:t>exorta, neste contexto, a Comissão Europeia a continuar a trabalhar com os governos nacionais nos países candidatos e potenciais candidatos, no intuito de desenvolver instrumentos específicos de reforço das capacidades das administrações locais e regionais nos Balcãs Ocidentais para que absorvam eficazmente os fundos atribuídos, bem como de colmatar as lacunas estruturais na sua capacidade de cofinanciar e pré-financiar a preparação e a execução de projetos apoiados pela UE;</w:t>
      </w:r>
    </w:p>
    <w:p w14:paraId="121E7FB5" w14:textId="77777777" w:rsidR="004E0DC0" w:rsidRPr="00836057" w:rsidRDefault="004E0DC0" w:rsidP="00555485"/>
    <w:p w14:paraId="37160897" w14:textId="77777777" w:rsidR="008B032F" w:rsidRPr="00836057" w:rsidRDefault="008B032F" w:rsidP="00555485">
      <w:pPr>
        <w:pStyle w:val="Heading1"/>
      </w:pPr>
      <w:r w:rsidRPr="00836057">
        <w:t>reitera que são essenciais reformas eficazes da administração pública nos países dos Balcãs Ocidentais, incluindo a descentralização orçamental, para melhorar a governação local, capacitar os órgãos de poder local e regional no âmbito do desenvolvimento e da prestação de serviços de qualidade aos cidadãos, com a colaboração dos mesmos, assegurar a sua participação na cooperação regional e no desenvolvimento de boas relações de vizinhança e cumprir agendas ambiciosas a nível europeu e mundial em matéria de desenvolvimento sustentável e alterações climáticas;</w:t>
      </w:r>
    </w:p>
    <w:p w14:paraId="6354476B" w14:textId="77777777" w:rsidR="004E0DC0" w:rsidRPr="00836057" w:rsidRDefault="004E0DC0" w:rsidP="00555485">
      <w:pPr>
        <w:rPr>
          <w:szCs w:val="20"/>
        </w:rPr>
      </w:pPr>
    </w:p>
    <w:p w14:paraId="3344C769" w14:textId="77777777" w:rsidR="008B032F" w:rsidRPr="00836057" w:rsidRDefault="008B032F" w:rsidP="00555485">
      <w:pPr>
        <w:keepNext/>
        <w:rPr>
          <w:b/>
          <w:szCs w:val="20"/>
        </w:rPr>
      </w:pPr>
      <w:r w:rsidRPr="00836057">
        <w:rPr>
          <w:b/>
        </w:rPr>
        <w:t>Observações específicas por país</w:t>
      </w:r>
    </w:p>
    <w:p w14:paraId="70A2E46D" w14:textId="77777777" w:rsidR="004E0DC0" w:rsidRPr="00836057" w:rsidRDefault="004E0DC0" w:rsidP="00555485">
      <w:pPr>
        <w:keepNext/>
      </w:pPr>
    </w:p>
    <w:p w14:paraId="34222F45" w14:textId="77777777" w:rsidR="008B032F" w:rsidRPr="00836057" w:rsidRDefault="008B032F" w:rsidP="00555485">
      <w:pPr>
        <w:pStyle w:val="Heading1"/>
      </w:pPr>
      <w:r w:rsidRPr="00836057">
        <w:t>congratula-se com o histórico Acordo de Prespa alcançado pela Macedónia do Norte e a Grécia, em junho de 2018, que pôs termo a um litígio relacionado com a denominação que durava há 27 anos;</w:t>
      </w:r>
    </w:p>
    <w:p w14:paraId="1E7C45B5" w14:textId="77777777" w:rsidR="004E0DC0" w:rsidRPr="00836057" w:rsidRDefault="004E0DC0" w:rsidP="00555485"/>
    <w:p w14:paraId="208AE9DA" w14:textId="77777777" w:rsidR="008B032F" w:rsidRPr="00836057" w:rsidRDefault="008B032F" w:rsidP="00555485">
      <w:pPr>
        <w:pStyle w:val="Heading1"/>
      </w:pPr>
      <w:r w:rsidRPr="00836057">
        <w:t>congratula-se com o facto de o Conselho ter concordado em responder aos progressos realizados pela Albânia e pela Macedónia do Norte, nos domínios acordados por unanimidade nas conclusões do Conselho de junho de 2018, e ter preparado o caminho para a abertura das negociações de adesão com estes dois países;</w:t>
      </w:r>
    </w:p>
    <w:p w14:paraId="6FDAC47A" w14:textId="77777777" w:rsidR="003112C5" w:rsidRPr="00836057" w:rsidRDefault="003112C5" w:rsidP="00555485"/>
    <w:p w14:paraId="36B0685E" w14:textId="77777777" w:rsidR="008B032F" w:rsidRPr="00836057" w:rsidRDefault="008B032F" w:rsidP="003112C5">
      <w:pPr>
        <w:pStyle w:val="Heading1"/>
      </w:pPr>
      <w:r w:rsidRPr="00836057">
        <w:t>lamenta que as eleições municipais de junho de 2019 na Albânia tenham sido marcadas pelo boicote da oposição e pela baixa afluência às urnas e reitera que o processo de alargamento se baseia no mérito e depende do respeito pelos princípios da democracia e pelos demais critérios de Copenhaga;</w:t>
      </w:r>
    </w:p>
    <w:p w14:paraId="28A0B54B" w14:textId="77777777" w:rsidR="004E0DC0" w:rsidRPr="00836057" w:rsidRDefault="004E0DC0" w:rsidP="00555485"/>
    <w:p w14:paraId="3857BB3D" w14:textId="294F2D52" w:rsidR="008B032F" w:rsidRPr="00836057" w:rsidRDefault="008B032F" w:rsidP="00761E6C">
      <w:pPr>
        <w:pStyle w:val="Heading1"/>
      </w:pPr>
      <w:r w:rsidRPr="00836057">
        <w:t>manifesta profunda preocupação com o facto de outras decisões do Conselho sobre a Albânia e a Macedónia do Norte terem sido inicialmente adiadas de junho para outubro de 2019 e expressa profunda deceção com a decisão do Conselho Europeu, tomada em outubro de 2019, de adiar novamente o início das negociações de adesão à UE com a Albânia e a Macedónia do Norte, que têm vindo continuamente a demonstrar empenho em enveredar pela via europeia; lamenta também que esta decisão não se tenha baseado em avaliações individuais dos progressos de cada país candidato e adverte que a ausência de um sinal positivo aos dois países candidatos poderá igualmente ter repercussões negativas a nível local e regional; recomenda ainda ao Conselho que encontre uma solução positiva para e</w:t>
      </w:r>
      <w:r w:rsidR="00DE0FAD" w:rsidRPr="00836057">
        <w:t>sta questão antes da Cimeira UE</w:t>
      </w:r>
      <w:r w:rsidR="00DE0FAD" w:rsidRPr="00836057">
        <w:noBreakHyphen/>
      </w:r>
      <w:r w:rsidRPr="00836057">
        <w:t>Balcãs Ocidentais que se realizará em Zagrebe, em maio de 2020;</w:t>
      </w:r>
    </w:p>
    <w:p w14:paraId="18B6E775" w14:textId="77777777" w:rsidR="004E0DC0" w:rsidRPr="00836057" w:rsidRDefault="004E0DC0" w:rsidP="00555485"/>
    <w:p w14:paraId="3BDA343E" w14:textId="77777777" w:rsidR="006056C6" w:rsidRPr="00836057" w:rsidRDefault="00761E6C" w:rsidP="006056C6">
      <w:pPr>
        <w:pStyle w:val="Heading1"/>
      </w:pPr>
      <w:r w:rsidRPr="00836057">
        <w:t>apoia plenamente a Resolução do Parlamento Europeu, de 24 de outubro de 2019</w:t>
      </w:r>
      <w:r w:rsidRPr="00836057">
        <w:rPr>
          <w:rStyle w:val="FootnoteReference"/>
        </w:rPr>
        <w:footnoteReference w:id="2"/>
      </w:r>
      <w:r w:rsidRPr="00836057">
        <w:t>, sobre a abertura das negociações de adesão com a Macedónia do Norte e a Albânia, e insta vivamente o Conselho a ter em conta o facto de que uma estratégia de alargamento da UE credível deve criar motivação e dar seguimento aos resultados alcançados e previamente acordados por todas as partes, bem como proporcionar uma perspetiva firme e credível para todos os países em causa;</w:t>
      </w:r>
    </w:p>
    <w:p w14:paraId="2B336463" w14:textId="77777777" w:rsidR="006056C6" w:rsidRPr="00836057" w:rsidRDefault="006056C6" w:rsidP="001B0588"/>
    <w:p w14:paraId="6D9EF27E" w14:textId="77777777" w:rsidR="006056C6" w:rsidRPr="00836057" w:rsidRDefault="006056C6">
      <w:pPr>
        <w:pStyle w:val="Heading1"/>
      </w:pPr>
      <w:r w:rsidRPr="00836057">
        <w:t>manifesta-se preocupado por a falta de progressos no âmbito do alargamento poder, também, afetar diretamente a segurança e o bem-estar da UE, na medida em que pode levar a uma aproximação gradual de todos os países dos Balcãs Ocidentais a países terceiros que já procuram reforçar a sua influência na região, incluindo, mas não só, a Rússia e a China;</w:t>
      </w:r>
    </w:p>
    <w:p w14:paraId="05C9C563" w14:textId="77777777" w:rsidR="006056C6" w:rsidRPr="00836057" w:rsidRDefault="006056C6" w:rsidP="00555485"/>
    <w:p w14:paraId="28A612F3" w14:textId="77777777" w:rsidR="008B032F" w:rsidRPr="00836057" w:rsidRDefault="008B032F" w:rsidP="00555485">
      <w:pPr>
        <w:pStyle w:val="Heading1"/>
      </w:pPr>
      <w:r w:rsidRPr="00836057">
        <w:t>observa com preocupação que a Sérvia e o Montenegro têm de agir ainda com maior determinação em domínios cruciais, particularmente no sentido da despolarização do contexto político, incluindo a nível local;</w:t>
      </w:r>
    </w:p>
    <w:p w14:paraId="0631BFA9" w14:textId="77777777" w:rsidR="004E0DC0" w:rsidRPr="00836057" w:rsidRDefault="004E0DC0" w:rsidP="00555485"/>
    <w:p w14:paraId="3D925F88" w14:textId="77777777" w:rsidR="008B032F" w:rsidRPr="00836057" w:rsidRDefault="008B032F" w:rsidP="00555485">
      <w:pPr>
        <w:pStyle w:val="Heading1"/>
      </w:pPr>
      <w:r w:rsidRPr="00836057">
        <w:lastRenderedPageBreak/>
        <w:t>exorta todos os intervenientes políticos e níveis de governo da Sérvia, do Montenegro e da Bósnia-Herzegovina a trabalharem estreitamente em parceria com vista à concretização das recomendações da OSCE/ODIHR sobre a melhoria do quadro eleitoral local e a empenharem-se na criação de um ambiente político local transparente e inclusivo, baseado no debate interpartidário e isento de pressões políticas e de intimidação dos opositores políticos;</w:t>
      </w:r>
    </w:p>
    <w:p w14:paraId="3367B388" w14:textId="77777777" w:rsidR="004E0DC0" w:rsidRPr="00836057" w:rsidRDefault="004E0DC0" w:rsidP="00555485"/>
    <w:p w14:paraId="2C5F3B0E" w14:textId="77777777" w:rsidR="008B032F" w:rsidRPr="00836057" w:rsidRDefault="008B032F" w:rsidP="00555485">
      <w:pPr>
        <w:pStyle w:val="Heading1"/>
      </w:pPr>
      <w:r w:rsidRPr="00836057">
        <w:t>solicita à Comissão Europeia que, nas negociações de adesão com a Sérvia, aborde a questão da alegada intimidação de responsáveis democraticamente eleitos pertencentes a partidos da oposição, nomeadamente nos municípios de Paraćin, Šabac e Čajetina;</w:t>
      </w:r>
    </w:p>
    <w:p w14:paraId="5C6948F9" w14:textId="77777777" w:rsidR="004E0DC0" w:rsidRPr="00836057" w:rsidRDefault="004E0DC0" w:rsidP="00555485"/>
    <w:p w14:paraId="4E215DD6" w14:textId="77777777" w:rsidR="008B032F" w:rsidRPr="00836057" w:rsidRDefault="008B032F" w:rsidP="00555485">
      <w:pPr>
        <w:pStyle w:val="Heading1"/>
      </w:pPr>
      <w:r w:rsidRPr="00836057">
        <w:t>observa que a Bósnia-Herzegovina ainda não cumpre suficientemente os critérios de Copenhaga e concorda que as negociações de adesão sejam encetadas logo que o país os tenha cumprido de forma satisfatória;</w:t>
      </w:r>
    </w:p>
    <w:p w14:paraId="7119AB5D" w14:textId="77777777" w:rsidR="004E0DC0" w:rsidRPr="00836057" w:rsidRDefault="004E0DC0" w:rsidP="00555485"/>
    <w:p w14:paraId="00CFF9B6" w14:textId="77777777" w:rsidR="008B032F" w:rsidRPr="00836057" w:rsidRDefault="008B032F" w:rsidP="00555485">
      <w:pPr>
        <w:pStyle w:val="Heading1"/>
      </w:pPr>
      <w:r w:rsidRPr="00836057">
        <w:t>reitera a sua extrema preocupação e consternação pelo facto de não serem realizadas eleições locais desde 2008 em Mostar, o único município da Bósnia-Herzegovina em que tal acontece;</w:t>
      </w:r>
    </w:p>
    <w:p w14:paraId="45AB7663" w14:textId="77777777" w:rsidR="004E0DC0" w:rsidRPr="00836057" w:rsidRDefault="004E0DC0" w:rsidP="00555485"/>
    <w:p w14:paraId="5DE98171" w14:textId="71C3BC2B" w:rsidR="008B032F" w:rsidRPr="00836057" w:rsidRDefault="008B032F" w:rsidP="00555485">
      <w:pPr>
        <w:pStyle w:val="Heading1"/>
        <w:rPr>
          <w:szCs w:val="20"/>
        </w:rPr>
      </w:pPr>
      <w:r w:rsidRPr="00836057">
        <w:t>apela nomeadamente aos dirigentes políticos locais de</w:t>
      </w:r>
      <w:r w:rsidR="00DE0FAD" w:rsidRPr="00836057">
        <w:t xml:space="preserve"> Mostar e à Federação da Bósnia</w:t>
      </w:r>
      <w:r w:rsidR="00DE0FAD" w:rsidRPr="00836057">
        <w:noBreakHyphen/>
      </w:r>
      <w:r w:rsidRPr="00836057">
        <w:t>Herzegovina, tendo em conta o pedido de adesão da Bósnia-Herzegovina à UE, para que ponham termo a esta violação sem precedentes dos princípios consagrados no artigo 3.º da Carta Europeia de Autonomia Local, que é vinculativa para todos os Estados membros do Conselho da Europa, incluindo a Bósnia-Herzegovina;</w:t>
      </w:r>
    </w:p>
    <w:p w14:paraId="6217AA4F" w14:textId="77777777" w:rsidR="004E0DC0" w:rsidRPr="00836057" w:rsidRDefault="004E0DC0" w:rsidP="00555485"/>
    <w:p w14:paraId="40ED85DF" w14:textId="77777777" w:rsidR="008B032F" w:rsidRPr="00836057" w:rsidRDefault="008B032F" w:rsidP="00555485">
      <w:pPr>
        <w:pStyle w:val="Heading1"/>
        <w:rPr>
          <w:szCs w:val="20"/>
        </w:rPr>
      </w:pPr>
      <w:r w:rsidRPr="00836057">
        <w:t>salienta que o impasse não resolvido nas eleições de Mostar impede efetivamente a adesão da Bósnia-Herzegovina à UE, uma vez que, à data da adesão, tal violaria o artigo 40.º da Carta dos Direitos Fundamentais da União Europeia, privando os cidadãos da UE residentes no país do direito de elegerem e de serem eleitos nas eleições municipais;</w:t>
      </w:r>
    </w:p>
    <w:p w14:paraId="73358870" w14:textId="77777777" w:rsidR="004E0DC0" w:rsidRPr="00836057" w:rsidRDefault="004E0DC0" w:rsidP="00555485"/>
    <w:p w14:paraId="67C01504" w14:textId="77777777" w:rsidR="008B032F" w:rsidRPr="00836057" w:rsidRDefault="008B032F" w:rsidP="00555485">
      <w:pPr>
        <w:pStyle w:val="Heading1"/>
      </w:pPr>
      <w:r w:rsidRPr="00836057">
        <w:t>recorda que a Comissão Europeia confirmou, em julho de 2018, que o Kosovo cumpriu todos os critérios de liberalização do regime de vistos aprovados pelo Conselho;</w:t>
      </w:r>
    </w:p>
    <w:p w14:paraId="4EF31CAF" w14:textId="77777777" w:rsidR="004E0DC0" w:rsidRPr="00836057" w:rsidRDefault="004E0DC0" w:rsidP="00555485"/>
    <w:p w14:paraId="5FA0446F" w14:textId="77777777" w:rsidR="008B032F" w:rsidRPr="00836057" w:rsidRDefault="008B032F" w:rsidP="00555485">
      <w:pPr>
        <w:pStyle w:val="Heading1"/>
      </w:pPr>
      <w:r w:rsidRPr="00836057">
        <w:t>congratula-se com o apoio do Parlamento Europeu à proposta da Comissão Europeia de liberalização do regime de vistos para os titulares de passaportes do Kosovo, expresso em setembro de 2018 e março de 2019 e reiterado no novo mandato da Comissão das Liberdades Cívicas, da Justiça e dos Assuntos Internos, em setembro de 2019;</w:t>
      </w:r>
    </w:p>
    <w:p w14:paraId="226E2E84" w14:textId="77777777" w:rsidR="004E0DC0" w:rsidRPr="00836057" w:rsidRDefault="004E0DC0" w:rsidP="00555485"/>
    <w:p w14:paraId="77FB4FC6" w14:textId="77777777" w:rsidR="008B032F" w:rsidRPr="00836057" w:rsidRDefault="008B032F" w:rsidP="00555485">
      <w:pPr>
        <w:pStyle w:val="Heading1"/>
      </w:pPr>
      <w:r w:rsidRPr="00836057">
        <w:t>solicita ao Conselho que resolva, com caráter de urgência, a questão da liberalização do regime de vistos com o Kosovo, que é o único país dos Balcãs Ocidentais cujos cidadãos ainda precisam de visto para viajar para os países da UE;</w:t>
      </w:r>
    </w:p>
    <w:p w14:paraId="7F304641" w14:textId="77777777" w:rsidR="004E0DC0" w:rsidRPr="00836057" w:rsidRDefault="004E0DC0" w:rsidP="00555485"/>
    <w:p w14:paraId="7A041808" w14:textId="77777777" w:rsidR="008B032F" w:rsidRPr="00836057" w:rsidRDefault="008B032F" w:rsidP="005B233D">
      <w:pPr>
        <w:pStyle w:val="Heading1"/>
      </w:pPr>
      <w:r w:rsidRPr="00836057">
        <w:t>observa, com pesar, a deterioração acentuada e continuada dos direitos humanos fundamentais na Turquia, com graves retrocessos em matéria de Estado de direito e direitos fundamentais; além disso, lamenta a fragilização do equilíbrio de poderes no sistema político, causada pela entrada em vigor de emendas constitucionais;</w:t>
      </w:r>
    </w:p>
    <w:p w14:paraId="50E474CE" w14:textId="77777777" w:rsidR="006056C6" w:rsidRPr="00836057" w:rsidRDefault="006056C6" w:rsidP="00555485"/>
    <w:p w14:paraId="6761E5D0" w14:textId="4822AB5F" w:rsidR="005B233D" w:rsidRPr="00836057" w:rsidRDefault="005B233D" w:rsidP="006056C6">
      <w:pPr>
        <w:pStyle w:val="Heading1"/>
      </w:pPr>
      <w:r w:rsidRPr="00836057">
        <w:lastRenderedPageBreak/>
        <w:t>regista as conclusões do Conselho dos Assuntos Gerais de junho de 2018, segundo as quais as negociações de adesão com a Turquia chegaram, efetivamente, a um impasse, não sendo possível ponderar a abertura ou o encerramento de mais capítulos e não podendo ser previstos novos avanços em matéria de modernização da União Aduaneira; lamenta que a Turquia continue a recusar-se a cumprir as disposições do protocolo adicional do acordo de associação com a UE e a reconhecer a República de Chipre; reitera ainda, neste contexto, as preocupações e recomendações relativamente a Chipre, pormenorizadas anteriormente no seu Parecer – Pacote Alargamento 2018; observa ainda com pesar que, não obstante os apelos reiterados da União Europeia para que abandone as suas atividades ilegais no leste do Mediterrâneo, a Turquia mantém as suas operações de perfuração em águas territoriais cipriotas, e reafirma a sua total solidariedade para com Chipre no que se refere ao seu reconhecimento internacional, à sua soberania e aos seus direitos ao abrigo do direito internacional;</w:t>
      </w:r>
    </w:p>
    <w:p w14:paraId="59091337" w14:textId="77777777" w:rsidR="00033519" w:rsidRPr="00836057" w:rsidRDefault="00033519" w:rsidP="00555485"/>
    <w:p w14:paraId="4C3308B6" w14:textId="751535B9" w:rsidR="00033519" w:rsidRPr="00836057" w:rsidRDefault="00033519" w:rsidP="001B0588">
      <w:pPr>
        <w:pStyle w:val="Heading1"/>
      </w:pPr>
      <w:r w:rsidRPr="00836057">
        <w:t>recorda a importância do estatuto de Varosha, definido em anteriores resoluções do Conselho de Segurança das Nações Unidas, nomeadamente na Resolução 550 (de 1984) e na Resolução 789 (de 1992), e reitera que não se devem levar a cabo ações que não estejam em conformidade com o estabelecido nas referidas resoluções;</w:t>
      </w:r>
    </w:p>
    <w:p w14:paraId="5CE1FEE3" w14:textId="77777777" w:rsidR="00033519" w:rsidRPr="00836057" w:rsidRDefault="00033519" w:rsidP="00555485"/>
    <w:p w14:paraId="64FC4352" w14:textId="49BAEEB8" w:rsidR="008B032F" w:rsidRPr="00836057" w:rsidRDefault="008B032F" w:rsidP="00876AAF">
      <w:pPr>
        <w:pStyle w:val="Heading1"/>
      </w:pPr>
      <w:r w:rsidRPr="00836057">
        <w:t>manifesta profunda preocupação com a legalidade e a integridade do processo eleitoral turco, nomeadamente com a decisão, em 2019, do Conselho Superior Eleitoral da Turquia de repetir as eleições locais em Istambul e com a decisão das autoridades turcas de substituir os presidentes democraticamente eleitos dos municípios metropolitanos de Diyarbakir, Mardin e Van por governadores provinciais nomeados presidentes interinos dos municípios metropolitanos, e condena veementemente os demais atos de repressão contra membros dos conselhos municipais e funcionários municipais, que são incompatíveis com o espírito e os princípios da Carta Europeia de Autonomia Local;</w:t>
      </w:r>
    </w:p>
    <w:p w14:paraId="3CAFA078" w14:textId="77777777" w:rsidR="004E0DC0" w:rsidRPr="00836057" w:rsidRDefault="004E0DC0" w:rsidP="00555485"/>
    <w:p w14:paraId="38ABE2DA" w14:textId="77777777" w:rsidR="008B032F" w:rsidRPr="00836057" w:rsidRDefault="008B032F" w:rsidP="005B233D">
      <w:pPr>
        <w:pStyle w:val="Heading1"/>
      </w:pPr>
      <w:r w:rsidRPr="00836057">
        <w:t>reconhece que a Turquia continua a ser um parceiro fundamental da UE em domínios como a migração e os refugiados, e reitera a sua convicção de que uma parte dos fundos atribuídos pela UE deve ser afetada aos órgãos de poder local e regional diretamente envolvidos na gestão dos fluxos migratórios de pessoas deslocadas e de refugiados; assinala que o acordo de readmissão UE-Turquia deve ser plena e eficazmente aplicado em relação a todos os Estados-Membros, afirmando, em simultâneo, que a cooperação no domínio da justiça e dos assuntos internos com todos os Estados-Membros da UE permanece essencial;</w:t>
      </w:r>
    </w:p>
    <w:p w14:paraId="352A9512" w14:textId="77777777" w:rsidR="004E0DC0" w:rsidRPr="00836057" w:rsidRDefault="004E0DC0" w:rsidP="00555485"/>
    <w:p w14:paraId="3DA59F24" w14:textId="77777777" w:rsidR="008B032F" w:rsidRPr="00836057" w:rsidRDefault="008B032F" w:rsidP="00555485">
      <w:pPr>
        <w:pStyle w:val="Heading1"/>
      </w:pPr>
      <w:r w:rsidRPr="00836057">
        <w:t>convida os órgãos de poder local e regional da UE a reforçarem a cooperação com os seus homólogos nos países candidatos e potenciais candidatos, a acompanhá-los no seu processo de integração europeia aprofundada e a reforçar as suas capacidades institucionais e administrativas a nível regional e local, bem como as suas capacidades para promover e respeitar os valores e princípios europeus;</w:t>
      </w:r>
    </w:p>
    <w:p w14:paraId="15D70C7C" w14:textId="77777777" w:rsidR="004E0DC0" w:rsidRPr="00836057" w:rsidRDefault="004E0DC0" w:rsidP="00555485"/>
    <w:p w14:paraId="7606B3CE" w14:textId="77777777" w:rsidR="008B032F" w:rsidRPr="00836057" w:rsidRDefault="008B032F" w:rsidP="00555485">
      <w:pPr>
        <w:pStyle w:val="Heading1"/>
      </w:pPr>
      <w:r w:rsidRPr="00836057">
        <w:t>recorda, a este respeito, o papel insubstituível das associações nacionais dos órgãos de poder local e regional, bem como da Rede de Associações de Autarquias Locais do Sudeste da Europa (NALAS), que podem apoiar os poderes locais e regionais na execução de reformas da administração pública, bem como no reforço das suas capacidades para melhorar o exercício de competências e a prestação de serviços públicos a nível local;</w:t>
      </w:r>
    </w:p>
    <w:p w14:paraId="7A2CDFF7" w14:textId="77777777" w:rsidR="004E0DC0" w:rsidRPr="00836057" w:rsidRDefault="004E0DC0" w:rsidP="00555485"/>
    <w:p w14:paraId="269909EF" w14:textId="77777777" w:rsidR="008B032F" w:rsidRPr="00836057" w:rsidRDefault="008B032F" w:rsidP="00555485">
      <w:pPr>
        <w:keepNext/>
        <w:rPr>
          <w:b/>
          <w:szCs w:val="20"/>
        </w:rPr>
      </w:pPr>
      <w:r w:rsidRPr="00836057">
        <w:rPr>
          <w:b/>
        </w:rPr>
        <w:t>Papel dos órgãos de poder local e regional no processo de alargamento</w:t>
      </w:r>
    </w:p>
    <w:p w14:paraId="581ECB66" w14:textId="77777777" w:rsidR="004E0DC0" w:rsidRPr="00836057" w:rsidRDefault="004E0DC0" w:rsidP="00555485">
      <w:pPr>
        <w:keepNext/>
      </w:pPr>
    </w:p>
    <w:p w14:paraId="306DDD06" w14:textId="77777777" w:rsidR="008B032F" w:rsidRPr="00836057" w:rsidRDefault="008B032F" w:rsidP="00555485">
      <w:pPr>
        <w:pStyle w:val="Heading1"/>
      </w:pPr>
      <w:r w:rsidRPr="00836057">
        <w:t>sublinha que os princípios europeus de subsidiariedade, proporcionalidade e governação a vários níveis devem igualmente aplicar-se ao processo de alargamento da União Europeia;</w:t>
      </w:r>
    </w:p>
    <w:p w14:paraId="01C50846" w14:textId="77777777" w:rsidR="004E0DC0" w:rsidRPr="00836057" w:rsidRDefault="004E0DC0" w:rsidP="00555485"/>
    <w:p w14:paraId="7EDB17C7" w14:textId="77777777" w:rsidR="008B032F" w:rsidRPr="00836057" w:rsidRDefault="008B032F" w:rsidP="00555485">
      <w:pPr>
        <w:pStyle w:val="Heading1"/>
      </w:pPr>
      <w:r w:rsidRPr="00836057">
        <w:t>estabelece que, para que o processo de alargamento seja inclusivo e sustentável, é essencial a participação dos níveis de poder infranacionais. O êxito do alargamento da UE aos Balcãs Ocidentais dependerá do apoio contínuo dos cidadãos e da participação dos órgãos de poder local e regional, a fim de gerar o desejado impacto sustentável a nível local, no âmbito de uma parceria conjunta entre as administrações locais, regionais e centrais e com a União Europeia;</w:t>
      </w:r>
    </w:p>
    <w:p w14:paraId="362C2FE5" w14:textId="77777777" w:rsidR="004E0DC0" w:rsidRPr="00836057" w:rsidRDefault="004E0DC0" w:rsidP="00555485"/>
    <w:p w14:paraId="583645AC" w14:textId="77777777" w:rsidR="008B032F" w:rsidRPr="00836057" w:rsidRDefault="008B032F" w:rsidP="00555485">
      <w:pPr>
        <w:pStyle w:val="Heading1"/>
      </w:pPr>
      <w:r w:rsidRPr="00836057">
        <w:t>lembra que mais de 60% do acervo da UE é aplicado a nível local, enquanto – no âmbito do atual Quadro Financeiro Plurianual – quase um terço do orçamento total da UE se destina à política de coesão, que visa todas as regiões e municípios da União Europeia;</w:t>
      </w:r>
    </w:p>
    <w:p w14:paraId="351BBD63" w14:textId="77777777" w:rsidR="004E0DC0" w:rsidRPr="00836057" w:rsidRDefault="004E0DC0" w:rsidP="00555485"/>
    <w:p w14:paraId="043D5A02" w14:textId="77777777" w:rsidR="008B032F" w:rsidRPr="00836057" w:rsidRDefault="008B032F" w:rsidP="00555485">
      <w:pPr>
        <w:pStyle w:val="Heading1"/>
      </w:pPr>
      <w:r w:rsidRPr="00836057">
        <w:t>salienta que os órgãos de poder local e regional têm um papel importante a desempenhar no processo de alargamento, não só no que diz respeito aos critérios políticos, mas também como motores do crescimento económico e do desenvolvimento sustentável no seu território e como prestadores de serviços públicos de qualidade aos seus cidadãos;</w:t>
      </w:r>
    </w:p>
    <w:p w14:paraId="40B2A670" w14:textId="77777777" w:rsidR="004E0DC0" w:rsidRPr="00836057" w:rsidRDefault="004E0DC0" w:rsidP="00555485"/>
    <w:p w14:paraId="20A7FADE" w14:textId="77777777" w:rsidR="008B032F" w:rsidRPr="00836057" w:rsidRDefault="008B032F" w:rsidP="00555485">
      <w:pPr>
        <w:pStyle w:val="Heading1"/>
      </w:pPr>
      <w:r w:rsidRPr="00836057">
        <w:t>afirma, neste contexto, que a capacitação dos níveis de poder infranacionais com vista a cumprir este papel é um elemento crucial para a execução sustentável da estratégia de alargamento da UE para os Balcãs Ocidentais e para o êxito da integração europeia no futuro;</w:t>
      </w:r>
    </w:p>
    <w:p w14:paraId="674FEADE" w14:textId="77777777" w:rsidR="004E0DC0" w:rsidRPr="00836057" w:rsidRDefault="004E0DC0" w:rsidP="00555485"/>
    <w:p w14:paraId="7FF226C7" w14:textId="77777777" w:rsidR="008B032F" w:rsidRPr="00836057" w:rsidRDefault="008B032F" w:rsidP="00555485">
      <w:pPr>
        <w:pStyle w:val="Heading1"/>
      </w:pPr>
      <w:r w:rsidRPr="00836057">
        <w:t>congratula-se com o facto de a Comissão Europeia reconhecer que é necessário ter em conta o papel dos órgãos de poder local e regional e encontrar um equilíbrio adequado entre a administração central, regional e local, que apoie da melhor forma a execução de reformas e a prestação de serviços aos cidadãos;</w:t>
      </w:r>
    </w:p>
    <w:p w14:paraId="07C6A239" w14:textId="77777777" w:rsidR="004E0DC0" w:rsidRPr="00836057" w:rsidRDefault="004E0DC0" w:rsidP="00555485"/>
    <w:p w14:paraId="6A4A16FB" w14:textId="77777777" w:rsidR="008B032F" w:rsidRPr="00836057" w:rsidRDefault="008B032F" w:rsidP="00555485">
      <w:pPr>
        <w:pStyle w:val="Heading1"/>
      </w:pPr>
      <w:r w:rsidRPr="00836057">
        <w:t>recorda a sua deceção perante a inexistência de propostas estratégicas concretas em relação aos órgãos de poder local e regional, como formulado no seu Parecer – Pacote Alargamento 2018;</w:t>
      </w:r>
    </w:p>
    <w:p w14:paraId="376096D1" w14:textId="77777777" w:rsidR="004E0DC0" w:rsidRPr="00836057" w:rsidRDefault="004E0DC0" w:rsidP="00555485"/>
    <w:p w14:paraId="0F869E87" w14:textId="77777777" w:rsidR="008B032F" w:rsidRPr="00836057" w:rsidRDefault="008B032F" w:rsidP="00555485">
      <w:pPr>
        <w:pStyle w:val="Heading1"/>
      </w:pPr>
      <w:r w:rsidRPr="00836057">
        <w:t>convida a Comissão Europeia a propor políticas, ferramentas e instrumentos concretos para a participação dos órgãos de poder local e regional nos Balcãs Ocidentais, a fim de reforçar o seu papel enquanto esfera de governação mais próxima dos cidadãos;</w:t>
      </w:r>
    </w:p>
    <w:p w14:paraId="3A7C6946" w14:textId="77777777" w:rsidR="008B032F" w:rsidRPr="00836057" w:rsidRDefault="008B032F" w:rsidP="00F8719D">
      <w:pPr>
        <w:pStyle w:val="Heading1"/>
        <w:numPr>
          <w:ilvl w:val="0"/>
          <w:numId w:val="0"/>
        </w:numPr>
      </w:pPr>
    </w:p>
    <w:p w14:paraId="51DF802A" w14:textId="77777777" w:rsidR="004E0DC0" w:rsidRPr="00836057" w:rsidRDefault="0094101A" w:rsidP="00F8719D">
      <w:pPr>
        <w:pStyle w:val="Heading1"/>
      </w:pPr>
      <w:r w:rsidRPr="00836057">
        <w:t>convida a Comissão Europeia a desenvolver um instrumento prático para apoiar o reforço eficaz das capacidades dos órgãos de poder local e regional nos Balcãs Ocidentais, tendo em vista o alinhamento das suas políticas públicas locais e regionais com o acervo, através de formação específica, da aprendizagem interpares e do intercâmbio de boas práticas em toda a região e com os seus homólogos na UE, em moldes idênticos aos do Instrumento para a Administração Local, do Programa de Formação Regional ou do programa Erasmus para os representantes locais e regionais;</w:t>
      </w:r>
    </w:p>
    <w:p w14:paraId="0644AE04" w14:textId="77777777" w:rsidR="00C5746C" w:rsidRPr="00836057" w:rsidRDefault="00C5746C" w:rsidP="00F8719D">
      <w:pPr>
        <w:pStyle w:val="Heading1"/>
        <w:numPr>
          <w:ilvl w:val="0"/>
          <w:numId w:val="0"/>
        </w:numPr>
      </w:pPr>
    </w:p>
    <w:p w14:paraId="13D4925E" w14:textId="77777777" w:rsidR="00DB44C4" w:rsidRPr="00836057" w:rsidRDefault="0094101A" w:rsidP="00F8719D">
      <w:pPr>
        <w:pStyle w:val="Heading1"/>
      </w:pPr>
      <w:r w:rsidRPr="00836057">
        <w:lastRenderedPageBreak/>
        <w:t>exorta novamente a Comissão a alargar a iniciativa de Apoio à Melhoria da Governação e da Gestão (SIGMA) aos níveis infranacionais da administração nos países candidatos e potenciais candidatos, a fim de definir modelos descentralizados para as reformas da administração pública e de apoiar a melhoria da governação e da gestão pública ao nível local, tendo em vista a aplicação do acervo;</w:t>
      </w:r>
    </w:p>
    <w:p w14:paraId="5CFFDB7D" w14:textId="77777777" w:rsidR="00C5746C" w:rsidRPr="00836057" w:rsidRDefault="00C5746C" w:rsidP="00F8719D">
      <w:pPr>
        <w:pStyle w:val="Heading1"/>
        <w:numPr>
          <w:ilvl w:val="0"/>
          <w:numId w:val="0"/>
        </w:numPr>
      </w:pPr>
    </w:p>
    <w:p w14:paraId="5E944537" w14:textId="77777777" w:rsidR="00DB44C4" w:rsidRPr="00836057" w:rsidRDefault="0094101A" w:rsidP="00F8719D">
      <w:pPr>
        <w:pStyle w:val="Heading1"/>
      </w:pPr>
      <w:r w:rsidRPr="00836057">
        <w:t xml:space="preserve">reitera o seu apelo à Comissão Europeia para que estabeleça métodos operacionais </w:t>
      </w:r>
      <w:r w:rsidRPr="00836057">
        <w:rPr>
          <w:i/>
        </w:rPr>
        <w:t>ad hoc</w:t>
      </w:r>
      <w:r w:rsidRPr="00836057">
        <w:t xml:space="preserve"> que permitam a utilização do TAIEX e do instrumento de geminação no âmbito da cooperação entre os órgãos de poder local e regional dos Estados-Membros e os seus homólogos dos países candidatos e potenciais candidatos;</w:t>
      </w:r>
    </w:p>
    <w:p w14:paraId="79304404" w14:textId="77777777" w:rsidR="00DB44C4" w:rsidRPr="00836057" w:rsidRDefault="00DB44C4" w:rsidP="00555485"/>
    <w:p w14:paraId="4BAE4304" w14:textId="77777777" w:rsidR="008B032F" w:rsidRPr="00836057" w:rsidRDefault="008B032F" w:rsidP="00555485">
      <w:pPr>
        <w:pStyle w:val="Heading1"/>
      </w:pPr>
      <w:r w:rsidRPr="00836057">
        <w:t>manifesta a sua disponibilidade para trabalhar em estreita colaboração com a nova Comissão Europeia e, em particular, com o comissário da Vizinhança e Alargamento sobre a aplicação prática e a utilização destes instrumentos a nível local e regional;</w:t>
      </w:r>
    </w:p>
    <w:p w14:paraId="774DCA24" w14:textId="77777777" w:rsidR="004E0DC0" w:rsidRPr="00836057" w:rsidRDefault="004E0DC0" w:rsidP="00555485"/>
    <w:p w14:paraId="7E50B12C" w14:textId="77777777" w:rsidR="008B032F" w:rsidRPr="00836057" w:rsidRDefault="008B032F" w:rsidP="00555485">
      <w:pPr>
        <w:keepNext/>
        <w:rPr>
          <w:b/>
          <w:szCs w:val="20"/>
        </w:rPr>
      </w:pPr>
      <w:r w:rsidRPr="00836057">
        <w:rPr>
          <w:b/>
        </w:rPr>
        <w:t>Estado de direito e direitos fundamentais</w:t>
      </w:r>
    </w:p>
    <w:p w14:paraId="78A9ECFA" w14:textId="77777777" w:rsidR="004E0DC0" w:rsidRPr="00836057" w:rsidRDefault="004E0DC0" w:rsidP="00555485">
      <w:pPr>
        <w:keepNext/>
      </w:pPr>
    </w:p>
    <w:p w14:paraId="29F526BC" w14:textId="77777777" w:rsidR="008B032F" w:rsidRPr="00836057" w:rsidRDefault="008B032F">
      <w:pPr>
        <w:pStyle w:val="Heading1"/>
      </w:pPr>
      <w:r w:rsidRPr="00836057">
        <w:t>reitera que o cumprimento dos critérios de Copenhaga deve continuar a ser o principal fator de avaliação do estado de preparação dos países candidatos para se tornarem Estados-Membros da UE e apoia plenamente os princípios de uma condicionalidade justa e rigorosa e de «prioridade aos aspetos fundamentais»;</w:t>
      </w:r>
    </w:p>
    <w:p w14:paraId="3CDBD423" w14:textId="77777777" w:rsidR="004E0DC0" w:rsidRPr="00836057" w:rsidRDefault="004E0DC0" w:rsidP="00555485"/>
    <w:p w14:paraId="58661463" w14:textId="77777777" w:rsidR="008B032F" w:rsidRPr="00836057" w:rsidRDefault="008B032F" w:rsidP="00555485">
      <w:pPr>
        <w:pStyle w:val="Heading1"/>
      </w:pPr>
      <w:r w:rsidRPr="00836057">
        <w:t>observa com grande preocupação que o bom funcionamento das instituições democráticas e a realização de progressos credíveis no domínio do Estado de direito continuam a constituir um desafio fulcral na maioria dos países candidatos e potenciais candidatos;</w:t>
      </w:r>
    </w:p>
    <w:p w14:paraId="5F28F35A" w14:textId="77777777" w:rsidR="004E0DC0" w:rsidRPr="00836057" w:rsidRDefault="004E0DC0" w:rsidP="00555485"/>
    <w:p w14:paraId="410CB849" w14:textId="77777777" w:rsidR="008B032F" w:rsidRPr="00836057" w:rsidRDefault="008B032F" w:rsidP="00555485">
      <w:pPr>
        <w:pStyle w:val="Heading1"/>
      </w:pPr>
      <w:r w:rsidRPr="00836057">
        <w:t>mostra-se igualmente preocupado, neste contexto, com o ambiente cada vez mais hostil para a sociedade civil nestes países e com a evolução negativa no atinente à liberdade de expressão e à independência dos meios de comunicação social;</w:t>
      </w:r>
    </w:p>
    <w:p w14:paraId="20069446" w14:textId="77777777" w:rsidR="004E0DC0" w:rsidRPr="00836057" w:rsidRDefault="004E0DC0" w:rsidP="00555485"/>
    <w:p w14:paraId="37730D68" w14:textId="77777777" w:rsidR="008B032F" w:rsidRPr="00836057" w:rsidRDefault="008B032F" w:rsidP="00555485">
      <w:pPr>
        <w:pStyle w:val="Heading1"/>
      </w:pPr>
      <w:r w:rsidRPr="00836057">
        <w:t>salienta que os órgãos de poder local e regional, pela sua proximidade aos cidadãos, desempenham um papel crucial na promoção e na observância dos valores europeus e estão na linha da frente no combate ao racismo e ao discurso de ódio, protegendo os grupos vulneráveis e as minorias, para além de promoverem a coesão social;</w:t>
      </w:r>
    </w:p>
    <w:p w14:paraId="53D62FAA" w14:textId="77777777" w:rsidR="004E0DC0" w:rsidRPr="00836057" w:rsidRDefault="004E0DC0" w:rsidP="00555485"/>
    <w:p w14:paraId="5AEF6147" w14:textId="77777777" w:rsidR="008B032F" w:rsidRPr="00836057" w:rsidRDefault="008B032F" w:rsidP="00555485">
      <w:pPr>
        <w:pStyle w:val="Heading1"/>
      </w:pPr>
      <w:r w:rsidRPr="00836057">
        <w:t>está profundamente convicto de que os próprios órgãos de poder local e regional podem desempenhar um papel mais forte na definição do panorama político local e do espaço político público e podem assumir a sua quota-parte de responsabilidade na resolução de algumas das falhas no domínio do Estado de direito e dos direitos fundamentais, tal como sublinhado pela Comissão Europeia;</w:t>
      </w:r>
    </w:p>
    <w:p w14:paraId="2C73B670" w14:textId="77777777" w:rsidR="004E0DC0" w:rsidRPr="00836057" w:rsidRDefault="004E0DC0" w:rsidP="00555485"/>
    <w:p w14:paraId="6E2AB1C3" w14:textId="49BD4C48" w:rsidR="008B032F" w:rsidRPr="00836057" w:rsidRDefault="008B032F" w:rsidP="00555485">
      <w:pPr>
        <w:pStyle w:val="Heading1"/>
      </w:pPr>
      <w:r w:rsidRPr="00836057">
        <w:t>insta os órgãos de poder local e regional dos países candidatos e potenciais candidatos a intensificarem os seus esforços para apresentar resultados concretos no que toca a:</w:t>
      </w:r>
    </w:p>
    <w:p w14:paraId="76F28630" w14:textId="77777777" w:rsidR="004E0DC0" w:rsidRPr="00836057" w:rsidRDefault="004E0DC0" w:rsidP="001B0588"/>
    <w:p w14:paraId="5112E57C" w14:textId="77777777" w:rsidR="008B032F" w:rsidRPr="00836057" w:rsidRDefault="008B032F">
      <w:pPr>
        <w:pStyle w:val="Heading2"/>
      </w:pPr>
      <w:r w:rsidRPr="00836057">
        <w:t>criar um ambiente positivo e propício ao funcionamento da sociedade civil a nível local e incluir organizações da sociedade civil na elaboração de políticas participativas a nível local,</w:t>
      </w:r>
    </w:p>
    <w:p w14:paraId="5CFA9E3C" w14:textId="77777777" w:rsidR="00833949" w:rsidRPr="00836057" w:rsidRDefault="00833949" w:rsidP="00555485"/>
    <w:p w14:paraId="15955BFC" w14:textId="77777777" w:rsidR="008B032F" w:rsidRPr="00836057" w:rsidRDefault="008B032F" w:rsidP="0094101A">
      <w:pPr>
        <w:pStyle w:val="Heading2"/>
      </w:pPr>
      <w:r w:rsidRPr="00836057">
        <w:t>combater todas as formas de discriminação, independentemente da razão, no espírito da Carta dos Direitos Fundamentais da União Europeia, em particular das pessoas com deficiência, dos grupos vulneráveis e das minorias étnicas, nomeadamente os ciganos,</w:t>
      </w:r>
    </w:p>
    <w:p w14:paraId="1DF69383" w14:textId="77777777" w:rsidR="00833949" w:rsidRPr="00836057" w:rsidRDefault="00833949" w:rsidP="00555485"/>
    <w:p w14:paraId="1785CE93" w14:textId="77777777" w:rsidR="008B032F" w:rsidRPr="00836057" w:rsidRDefault="008B032F" w:rsidP="00555485">
      <w:pPr>
        <w:pStyle w:val="Heading2"/>
      </w:pPr>
      <w:r w:rsidRPr="00836057">
        <w:t xml:space="preserve">lutar contra a exclusão, a marginalização e a discriminação das pessoas lésbicas, </w:t>
      </w:r>
      <w:r w:rsidRPr="00836057">
        <w:rPr>
          <w:i/>
        </w:rPr>
        <w:t>gays</w:t>
      </w:r>
      <w:r w:rsidRPr="00836057">
        <w:t>, bissexuais, transgénero e intersexuais, bem como contra os discursos de ódio e a violência contra estes grupos,</w:t>
      </w:r>
    </w:p>
    <w:p w14:paraId="2F15E00F" w14:textId="77777777" w:rsidR="00033519" w:rsidRPr="00836057" w:rsidRDefault="00033519" w:rsidP="00555485"/>
    <w:p w14:paraId="75416175" w14:textId="77777777" w:rsidR="008B032F" w:rsidRPr="00836057" w:rsidRDefault="0094101A" w:rsidP="00555485">
      <w:pPr>
        <w:pStyle w:val="Heading2"/>
      </w:pPr>
      <w:r w:rsidRPr="00836057">
        <w:t>melhorar a representação das mulheres em todos os domínios da governação pública local e regional e, de modo geral, assegurar a igualdade dos géneros, bem como prevenir e combater a discriminação e todas as formas de violência contra as mulheres;</w:t>
      </w:r>
    </w:p>
    <w:p w14:paraId="6844C6AE" w14:textId="77777777" w:rsidR="004E0DC0" w:rsidRPr="00836057" w:rsidRDefault="004E0DC0" w:rsidP="00555485"/>
    <w:p w14:paraId="3186E0BF" w14:textId="2364F411" w:rsidR="00063D0B" w:rsidRPr="00836057" w:rsidRDefault="008B032F" w:rsidP="00555485">
      <w:pPr>
        <w:pStyle w:val="Heading1"/>
      </w:pPr>
      <w:r w:rsidRPr="00836057">
        <w:t>apela à Comissão Europeia para que reconheça o papel dos órgãos de poder local e regional na abordagem de questões fundamentais a nível local, facilite o reforço das suas capacidades e competências no domínio do Estado de direito e dos direitos fundamentais e os apoie através da disponibilização de ferramentas e instrumentos concretos para cumprirem este papel;</w:t>
      </w:r>
    </w:p>
    <w:p w14:paraId="1E68C991" w14:textId="77777777" w:rsidR="004E0DC0" w:rsidRPr="00836057" w:rsidRDefault="004E0DC0" w:rsidP="00555485"/>
    <w:p w14:paraId="350992C6" w14:textId="77777777" w:rsidR="008B032F" w:rsidRPr="00836057" w:rsidRDefault="008B032F" w:rsidP="00555485">
      <w:pPr>
        <w:keepNext/>
        <w:rPr>
          <w:b/>
          <w:szCs w:val="20"/>
        </w:rPr>
      </w:pPr>
      <w:r w:rsidRPr="00836057">
        <w:rPr>
          <w:b/>
        </w:rPr>
        <w:t>Papel dos órgãos de poder local e regional na Agenda 2030 para o Desenvolvimento Sustentável</w:t>
      </w:r>
    </w:p>
    <w:p w14:paraId="4B507A44" w14:textId="77777777" w:rsidR="004E0DC0" w:rsidRPr="00836057" w:rsidRDefault="004E0DC0" w:rsidP="00555485">
      <w:pPr>
        <w:keepNext/>
      </w:pPr>
    </w:p>
    <w:p w14:paraId="696F4F5A" w14:textId="77777777" w:rsidR="008B032F" w:rsidRPr="00836057" w:rsidRDefault="008B032F" w:rsidP="00555485">
      <w:pPr>
        <w:pStyle w:val="Heading1"/>
      </w:pPr>
      <w:r w:rsidRPr="00836057">
        <w:t>recorda o seu Parecer – Os Objetivos de Desenvolvimento Sustentável (ODS): uma base para uma estratégia a longo prazo da UE para uma Europa sustentável até 2030, elaborado recentemente, segundo o qual 65% das 169 metas dos 17 ODS apenas podem ser alcançadas com a participação ativa das regiões e dos municípios na execução dos ODS;</w:t>
      </w:r>
    </w:p>
    <w:p w14:paraId="6E4428ED" w14:textId="77777777" w:rsidR="004E0DC0" w:rsidRPr="00836057" w:rsidRDefault="004E0DC0" w:rsidP="00555485"/>
    <w:p w14:paraId="47E30841" w14:textId="77777777" w:rsidR="008B032F" w:rsidRPr="00836057" w:rsidRDefault="008B032F" w:rsidP="00555485">
      <w:pPr>
        <w:pStyle w:val="Heading1"/>
      </w:pPr>
      <w:r w:rsidRPr="00836057">
        <w:t>lembra que o objetivo de não deixar ninguém para trás exige que todos os níveis de governo assegurem a integração entre diferentes escalas e a conceção de políticas coesas de base local que se apoiem mutuamente;</w:t>
      </w:r>
    </w:p>
    <w:p w14:paraId="6BC07EB3" w14:textId="77777777" w:rsidR="004E0DC0" w:rsidRPr="00836057" w:rsidRDefault="004E0DC0" w:rsidP="00555485"/>
    <w:p w14:paraId="52C9981B" w14:textId="77777777" w:rsidR="008B032F" w:rsidRPr="00836057" w:rsidRDefault="008B032F" w:rsidP="00555485">
      <w:pPr>
        <w:pStyle w:val="Heading1"/>
      </w:pPr>
      <w:r w:rsidRPr="00836057">
        <w:t>recorda igualmente que os órgãos de poder local e regional têm um papel fundamental a desempenhar na consecução dos objetivos estabelecidos pelo Acordo de Paris das Nações Unidas sobre as alterações climáticas e que a ação climática a nível local é de importância crucial para a atenuação das alterações climáticas e a adaptação às mesmas, bem como para a criação de oportunidades locais de investimento e crescimento sustentáveis;</w:t>
      </w:r>
    </w:p>
    <w:p w14:paraId="1ADD200C" w14:textId="77777777" w:rsidR="004E0DC0" w:rsidRPr="00836057" w:rsidRDefault="004E0DC0" w:rsidP="00555485"/>
    <w:p w14:paraId="302336D7" w14:textId="77777777" w:rsidR="008B032F" w:rsidRPr="00836057" w:rsidRDefault="008B032F" w:rsidP="0094101A">
      <w:pPr>
        <w:pStyle w:val="Heading1"/>
      </w:pPr>
      <w:r w:rsidRPr="00836057">
        <w:t>está, pois, convicto de que o Pacto de Autarcas para o Clima e Energia, enquanto movimento orientado da base para o topo, pode ser o fator impulsionador que permitirá às cidades e aos municípios dos países dos Balcãs Ocidentais contribuir para o cumprimento do Acordo de Paris, da Agenda 2030 e dos ODS, localizando-os;</w:t>
      </w:r>
    </w:p>
    <w:p w14:paraId="3500E702" w14:textId="77777777" w:rsidR="00033519" w:rsidRPr="00836057" w:rsidRDefault="00033519" w:rsidP="00555485"/>
    <w:p w14:paraId="7EAAF83C" w14:textId="77777777" w:rsidR="008B032F" w:rsidRPr="00836057" w:rsidRDefault="008B032F" w:rsidP="00033519">
      <w:pPr>
        <w:pStyle w:val="Heading1"/>
      </w:pPr>
      <w:r w:rsidRPr="00836057">
        <w:t xml:space="preserve">insta a Comissão Europeia a associar melhor os países dos Balcãs Ocidentais, nomeadamente os seus órgãos de poder local e regional, ao desenvolvimento futuro do Pacto de Autarcas para o Clima e Energia ou a iniciativas nacionais e regionais equivalentes que envolvam o nível local e regional, bem como a tirar partido do potencial das associações nacionais dos órgãos de poder local e regional e da Rede de Associações de Autarquias Locais do Sudeste da Europa (NALAS), a fim de facilitar a definição e a execução de planos locais de ação climática e de </w:t>
      </w:r>
      <w:r w:rsidRPr="00836057">
        <w:lastRenderedPageBreak/>
        <w:t>eficiência energética, planos de mobilidade urbana sustentável e outros instrumentos de política local e regional rumo à execução da Agenda 2030.</w:t>
      </w:r>
    </w:p>
    <w:p w14:paraId="00022510" w14:textId="77777777" w:rsidR="003A043C" w:rsidRPr="00836057" w:rsidRDefault="003A043C"/>
    <w:p w14:paraId="3FB5AE24" w14:textId="77777777" w:rsidR="006D61F8" w:rsidRPr="00836057" w:rsidRDefault="006D61F8"/>
    <w:p w14:paraId="37E65F0A" w14:textId="77777777" w:rsidR="006D61F8" w:rsidRPr="00836057" w:rsidRDefault="006D61F8" w:rsidP="001B0588">
      <w:pPr>
        <w:pStyle w:val="Normal0"/>
        <w:keepNext/>
        <w:suppressAutoHyphens/>
      </w:pPr>
      <w:r w:rsidRPr="00836057">
        <w:t>Bruxelas, 12 de fevereiro de 2020</w:t>
      </w:r>
    </w:p>
    <w:p w14:paraId="1BD8D2CF" w14:textId="77777777" w:rsidR="006D61F8" w:rsidRPr="00836057" w:rsidRDefault="006D61F8" w:rsidP="001B0588">
      <w:pPr>
        <w:pStyle w:val="Normal0"/>
        <w:keepNext/>
        <w:suppressAutoHyphens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6D61F8" w:rsidRPr="00836057" w14:paraId="07EEA7CF" w14:textId="77777777" w:rsidTr="001B0588">
        <w:trPr>
          <w:cantSplit/>
        </w:trPr>
        <w:tc>
          <w:tcPr>
            <w:tcW w:w="4644" w:type="dxa"/>
          </w:tcPr>
          <w:p w14:paraId="681C104F" w14:textId="77777777" w:rsidR="006D61F8" w:rsidRPr="00836057" w:rsidRDefault="006D61F8" w:rsidP="001B0588">
            <w:pPr>
              <w:keepNext/>
              <w:jc w:val="center"/>
            </w:pPr>
            <w:r w:rsidRPr="00836057">
              <w:t>O Presidente</w:t>
            </w:r>
            <w:r w:rsidRPr="00836057">
              <w:br/>
              <w:t>do Comité das Regiões Europeu</w:t>
            </w:r>
            <w:r w:rsidRPr="00836057">
              <w:br/>
            </w:r>
            <w:r w:rsidRPr="00836057">
              <w:br/>
            </w:r>
            <w:r w:rsidRPr="00836057">
              <w:br/>
            </w:r>
            <w:r w:rsidRPr="00836057">
              <w:br/>
            </w:r>
            <w:r w:rsidRPr="00836057">
              <w:br/>
              <w:t>Apostolos Tzitzikostas</w:t>
            </w:r>
          </w:p>
        </w:tc>
        <w:tc>
          <w:tcPr>
            <w:tcW w:w="4645" w:type="dxa"/>
          </w:tcPr>
          <w:p w14:paraId="17AAA0FC" w14:textId="77777777" w:rsidR="006D61F8" w:rsidRPr="00836057" w:rsidRDefault="006D61F8" w:rsidP="001B0588">
            <w:pPr>
              <w:keepNext/>
            </w:pPr>
          </w:p>
        </w:tc>
      </w:tr>
      <w:tr w:rsidR="006D61F8" w:rsidRPr="00836057" w14:paraId="088B0C24" w14:textId="77777777" w:rsidTr="001B0588">
        <w:trPr>
          <w:cantSplit/>
        </w:trPr>
        <w:tc>
          <w:tcPr>
            <w:tcW w:w="4644" w:type="dxa"/>
          </w:tcPr>
          <w:p w14:paraId="69A875E1" w14:textId="77777777" w:rsidR="006D61F8" w:rsidRPr="00836057" w:rsidRDefault="006D61F8" w:rsidP="00891C0B"/>
        </w:tc>
        <w:tc>
          <w:tcPr>
            <w:tcW w:w="4645" w:type="dxa"/>
          </w:tcPr>
          <w:p w14:paraId="7EBF3617" w14:textId="66D19847" w:rsidR="006D61F8" w:rsidRPr="00836057" w:rsidRDefault="006D61F8" w:rsidP="00A928D2">
            <w:pPr>
              <w:jc w:val="center"/>
            </w:pPr>
            <w:r w:rsidRPr="00836057">
              <w:t>O Secretário-Geral do</w:t>
            </w:r>
            <w:r w:rsidRPr="00836057">
              <w:br/>
              <w:t>Comité das Regiões Europeu</w:t>
            </w:r>
            <w:r w:rsidRPr="00836057">
              <w:br/>
            </w:r>
            <w:r w:rsidRPr="00836057">
              <w:br/>
            </w:r>
            <w:r w:rsidRPr="00836057">
              <w:br/>
            </w:r>
            <w:r w:rsidRPr="00836057">
              <w:br/>
            </w:r>
            <w:r w:rsidRPr="00836057">
              <w:br/>
              <w:t xml:space="preserve">Petr Blížkovský </w:t>
            </w:r>
          </w:p>
        </w:tc>
      </w:tr>
    </w:tbl>
    <w:p w14:paraId="595D7740" w14:textId="7FDE8CFF" w:rsidR="006D61F8" w:rsidRPr="00836057" w:rsidRDefault="006D61F8"/>
    <w:p w14:paraId="17D3FF23" w14:textId="47B48737" w:rsidR="009B67BE" w:rsidRPr="00836057" w:rsidRDefault="009B67BE">
      <w:pPr>
        <w:spacing w:line="240" w:lineRule="auto"/>
        <w:jc w:val="left"/>
      </w:pPr>
      <w:r w:rsidRPr="00836057">
        <w:br w:type="page"/>
      </w:r>
    </w:p>
    <w:p w14:paraId="73B42A03" w14:textId="77777777" w:rsidR="009B67BE" w:rsidRPr="00836057" w:rsidRDefault="009B67BE"/>
    <w:p w14:paraId="5E8C0F48" w14:textId="16C6B1EA" w:rsidR="00444A98" w:rsidRPr="00836057" w:rsidRDefault="00444A98" w:rsidP="001B0588">
      <w:pPr>
        <w:keepNext/>
        <w:keepLines/>
        <w:numPr>
          <w:ilvl w:val="0"/>
          <w:numId w:val="67"/>
        </w:numPr>
        <w:ind w:left="567" w:hanging="567"/>
        <w:rPr>
          <w:b/>
          <w:bCs/>
        </w:rPr>
      </w:pPr>
      <w:r w:rsidRPr="00836057">
        <w:rPr>
          <w:b/>
          <w:bCs/>
        </w:rPr>
        <w:t>PROCESSO</w:t>
      </w:r>
    </w:p>
    <w:p w14:paraId="3E331439" w14:textId="77777777" w:rsidR="00444A98" w:rsidRPr="00836057" w:rsidRDefault="00444A98" w:rsidP="00555485">
      <w:pPr>
        <w:keepNext/>
        <w:keepLines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5637"/>
      </w:tblGrid>
      <w:tr w:rsidR="00183B81" w:rsidRPr="00836057" w14:paraId="486B8D3A" w14:textId="77777777" w:rsidTr="00CA0AD7">
        <w:tc>
          <w:tcPr>
            <w:tcW w:w="3652" w:type="dxa"/>
            <w:noWrap/>
          </w:tcPr>
          <w:p w14:paraId="489BAB18" w14:textId="77777777" w:rsidR="00444A98" w:rsidRPr="00836057" w:rsidRDefault="00444A98" w:rsidP="00F422D0">
            <w:pPr>
              <w:spacing w:line="264" w:lineRule="auto"/>
              <w:jc w:val="left"/>
              <w:rPr>
                <w:b/>
                <w:bCs/>
              </w:rPr>
            </w:pPr>
            <w:r w:rsidRPr="00836057">
              <w:rPr>
                <w:b/>
                <w:bCs/>
              </w:rPr>
              <w:t>Título</w:t>
            </w:r>
          </w:p>
          <w:p w14:paraId="16FF9023" w14:textId="77777777" w:rsidR="00444A98" w:rsidRPr="00836057" w:rsidRDefault="00444A98" w:rsidP="00F422D0">
            <w:pPr>
              <w:spacing w:line="264" w:lineRule="auto"/>
              <w:jc w:val="left"/>
            </w:pPr>
          </w:p>
        </w:tc>
        <w:tc>
          <w:tcPr>
            <w:tcW w:w="5637" w:type="dxa"/>
            <w:noWrap/>
          </w:tcPr>
          <w:p w14:paraId="65494F14" w14:textId="77777777" w:rsidR="00444A98" w:rsidRPr="00836057" w:rsidRDefault="003C7E2D" w:rsidP="00F422D0">
            <w:pPr>
              <w:spacing w:line="264" w:lineRule="auto"/>
            </w:pPr>
            <w:r w:rsidRPr="00836057">
              <w:t>Pacote Alargamento 2019</w:t>
            </w:r>
          </w:p>
        </w:tc>
      </w:tr>
      <w:tr w:rsidR="00183B81" w:rsidRPr="00836057" w14:paraId="3575C32C" w14:textId="77777777" w:rsidTr="00CA0AD7">
        <w:tc>
          <w:tcPr>
            <w:tcW w:w="3652" w:type="dxa"/>
            <w:noWrap/>
          </w:tcPr>
          <w:p w14:paraId="6115D78A" w14:textId="77777777" w:rsidR="00444A98" w:rsidRPr="00836057" w:rsidRDefault="00444A98" w:rsidP="00F422D0">
            <w:pPr>
              <w:spacing w:line="264" w:lineRule="auto"/>
              <w:jc w:val="left"/>
              <w:rPr>
                <w:b/>
                <w:bCs/>
              </w:rPr>
            </w:pPr>
            <w:r w:rsidRPr="00836057">
              <w:rPr>
                <w:b/>
                <w:bCs/>
              </w:rPr>
              <w:t xml:space="preserve">Referências </w:t>
            </w:r>
          </w:p>
        </w:tc>
        <w:tc>
          <w:tcPr>
            <w:tcW w:w="5637" w:type="dxa"/>
            <w:noWrap/>
          </w:tcPr>
          <w:p w14:paraId="1DFAB16F" w14:textId="77777777" w:rsidR="00444A98" w:rsidRPr="00836057" w:rsidRDefault="003C7E2D" w:rsidP="00F422D0">
            <w:pPr>
              <w:spacing w:line="264" w:lineRule="auto"/>
            </w:pPr>
            <w:r w:rsidRPr="00836057">
              <w:t>COM(2019) 260 final; SWD(2019) 215 final; SWD(2019) 216 final; SWD(2019) 217 final; SWD(2019) 218 final; SWD(2019) 219 final; SWD(2019) 220 final</w:t>
            </w:r>
          </w:p>
        </w:tc>
      </w:tr>
      <w:tr w:rsidR="00183B81" w:rsidRPr="00836057" w14:paraId="2467E934" w14:textId="77777777" w:rsidTr="00CA0AD7">
        <w:tc>
          <w:tcPr>
            <w:tcW w:w="3652" w:type="dxa"/>
            <w:noWrap/>
          </w:tcPr>
          <w:p w14:paraId="01CD2C48" w14:textId="77777777" w:rsidR="00444A98" w:rsidRPr="00836057" w:rsidRDefault="00444A98" w:rsidP="00F422D0">
            <w:pPr>
              <w:spacing w:line="264" w:lineRule="auto"/>
              <w:jc w:val="left"/>
              <w:rPr>
                <w:b/>
                <w:bCs/>
              </w:rPr>
            </w:pPr>
            <w:r w:rsidRPr="00836057">
              <w:rPr>
                <w:b/>
                <w:bCs/>
              </w:rPr>
              <w:t>Base jurídica</w:t>
            </w:r>
          </w:p>
        </w:tc>
        <w:tc>
          <w:tcPr>
            <w:tcW w:w="5637" w:type="dxa"/>
            <w:noWrap/>
          </w:tcPr>
          <w:p w14:paraId="37286999" w14:textId="77777777" w:rsidR="00444A98" w:rsidRPr="00836057" w:rsidRDefault="003C7E2D" w:rsidP="00F422D0">
            <w:pPr>
              <w:spacing w:line="264" w:lineRule="auto"/>
            </w:pPr>
            <w:r w:rsidRPr="00836057">
              <w:t>Parecer de iniciativa (artigo 307.º, primeiro parágrafo, do TFUE, artigo 41.º, alínea b), subalínea i), do Regimento)</w:t>
            </w:r>
          </w:p>
        </w:tc>
      </w:tr>
      <w:tr w:rsidR="00183B81" w:rsidRPr="00836057" w14:paraId="5A8CBD6C" w14:textId="77777777" w:rsidTr="00CA0AD7">
        <w:tc>
          <w:tcPr>
            <w:tcW w:w="3652" w:type="dxa"/>
            <w:noWrap/>
          </w:tcPr>
          <w:p w14:paraId="416A3978" w14:textId="77777777" w:rsidR="00444A98" w:rsidRPr="00836057" w:rsidRDefault="00444A98" w:rsidP="00F422D0">
            <w:pPr>
              <w:spacing w:line="264" w:lineRule="auto"/>
              <w:jc w:val="left"/>
              <w:rPr>
                <w:b/>
                <w:bCs/>
              </w:rPr>
            </w:pPr>
            <w:r w:rsidRPr="00836057">
              <w:rPr>
                <w:b/>
                <w:bCs/>
              </w:rPr>
              <w:t>Processo regimental</w:t>
            </w:r>
          </w:p>
        </w:tc>
        <w:tc>
          <w:tcPr>
            <w:tcW w:w="5637" w:type="dxa"/>
            <w:noWrap/>
          </w:tcPr>
          <w:p w14:paraId="232B98AC" w14:textId="77777777" w:rsidR="00444A98" w:rsidRPr="00836057" w:rsidRDefault="003C7E2D" w:rsidP="00F422D0">
            <w:pPr>
              <w:spacing w:line="264" w:lineRule="auto"/>
            </w:pPr>
            <w:r w:rsidRPr="00836057">
              <w:t>Consulta facultativa</w:t>
            </w:r>
          </w:p>
        </w:tc>
      </w:tr>
      <w:tr w:rsidR="00183B81" w:rsidRPr="00836057" w14:paraId="3452D46E" w14:textId="77777777" w:rsidTr="00CA0AD7">
        <w:tc>
          <w:tcPr>
            <w:tcW w:w="3652" w:type="dxa"/>
          </w:tcPr>
          <w:p w14:paraId="644BC840" w14:textId="77777777" w:rsidR="00444A98" w:rsidRPr="00836057" w:rsidRDefault="00444A98" w:rsidP="00F422D0">
            <w:pPr>
              <w:spacing w:line="264" w:lineRule="auto"/>
              <w:jc w:val="left"/>
            </w:pPr>
            <w:r w:rsidRPr="00836057">
              <w:rPr>
                <w:b/>
                <w:bCs/>
              </w:rPr>
              <w:t>Data da carta da Comissão</w:t>
            </w:r>
          </w:p>
        </w:tc>
        <w:tc>
          <w:tcPr>
            <w:tcW w:w="5637" w:type="dxa"/>
            <w:noWrap/>
          </w:tcPr>
          <w:p w14:paraId="4A4E2E4B" w14:textId="77777777" w:rsidR="00444A98" w:rsidRPr="00836057" w:rsidRDefault="00EC346E" w:rsidP="00F422D0">
            <w:pPr>
              <w:spacing w:line="264" w:lineRule="auto"/>
            </w:pPr>
            <w:r w:rsidRPr="00836057">
              <w:t>29 de maio de 2019</w:t>
            </w:r>
          </w:p>
        </w:tc>
      </w:tr>
      <w:tr w:rsidR="00183B81" w:rsidRPr="00836057" w14:paraId="605D20E6" w14:textId="77777777" w:rsidTr="00CA0AD7">
        <w:tc>
          <w:tcPr>
            <w:tcW w:w="3652" w:type="dxa"/>
          </w:tcPr>
          <w:p w14:paraId="68AC49FD" w14:textId="77777777" w:rsidR="00444A98" w:rsidRPr="00836057" w:rsidRDefault="00444A98" w:rsidP="00F422D0">
            <w:pPr>
              <w:spacing w:line="264" w:lineRule="auto"/>
              <w:jc w:val="left"/>
            </w:pPr>
            <w:r w:rsidRPr="00836057">
              <w:rPr>
                <w:b/>
                <w:bCs/>
              </w:rPr>
              <w:t>Data da decisão do presidente</w:t>
            </w:r>
          </w:p>
        </w:tc>
        <w:tc>
          <w:tcPr>
            <w:tcW w:w="5637" w:type="dxa"/>
            <w:noWrap/>
          </w:tcPr>
          <w:p w14:paraId="349F5A6F" w14:textId="77777777" w:rsidR="00444A98" w:rsidRPr="00836057" w:rsidRDefault="008319F4" w:rsidP="00F422D0">
            <w:pPr>
              <w:spacing w:line="264" w:lineRule="auto"/>
            </w:pPr>
            <w:r w:rsidRPr="00836057">
              <w:t>12 de junho de 2019</w:t>
            </w:r>
          </w:p>
        </w:tc>
      </w:tr>
      <w:tr w:rsidR="00183B81" w:rsidRPr="00836057" w14:paraId="40EA7E88" w14:textId="77777777" w:rsidTr="00CA0AD7">
        <w:tc>
          <w:tcPr>
            <w:tcW w:w="3652" w:type="dxa"/>
            <w:noWrap/>
          </w:tcPr>
          <w:p w14:paraId="6FC409D1" w14:textId="77777777" w:rsidR="00444A98" w:rsidRPr="00836057" w:rsidRDefault="00444A98" w:rsidP="00F422D0">
            <w:pPr>
              <w:spacing w:line="264" w:lineRule="auto"/>
              <w:jc w:val="left"/>
              <w:rPr>
                <w:b/>
                <w:bCs/>
              </w:rPr>
            </w:pPr>
            <w:r w:rsidRPr="00836057">
              <w:rPr>
                <w:b/>
                <w:bCs/>
              </w:rPr>
              <w:t>Comissão competente</w:t>
            </w:r>
          </w:p>
        </w:tc>
        <w:tc>
          <w:tcPr>
            <w:tcW w:w="5637" w:type="dxa"/>
            <w:noWrap/>
          </w:tcPr>
          <w:p w14:paraId="4EB99734" w14:textId="77777777" w:rsidR="00444A98" w:rsidRPr="00836057" w:rsidRDefault="003C7E2D" w:rsidP="00F422D0">
            <w:pPr>
              <w:spacing w:line="264" w:lineRule="auto"/>
            </w:pPr>
            <w:r w:rsidRPr="00836057">
              <w:t>Comissão da Cidadania, Governação e Assuntos Institucionais e Externos</w:t>
            </w:r>
          </w:p>
        </w:tc>
      </w:tr>
      <w:tr w:rsidR="00183B81" w:rsidRPr="00836057" w14:paraId="24E7CF16" w14:textId="77777777" w:rsidTr="00CA0AD7">
        <w:tc>
          <w:tcPr>
            <w:tcW w:w="3652" w:type="dxa"/>
            <w:noWrap/>
          </w:tcPr>
          <w:p w14:paraId="7F04FCAC" w14:textId="77777777" w:rsidR="00444A98" w:rsidRPr="00836057" w:rsidRDefault="00444A98" w:rsidP="00F422D0">
            <w:pPr>
              <w:spacing w:line="264" w:lineRule="auto"/>
              <w:jc w:val="left"/>
              <w:rPr>
                <w:b/>
                <w:bCs/>
              </w:rPr>
            </w:pPr>
            <w:r w:rsidRPr="00836057">
              <w:rPr>
                <w:b/>
                <w:bCs/>
              </w:rPr>
              <w:t>Relator</w:t>
            </w:r>
          </w:p>
        </w:tc>
        <w:tc>
          <w:tcPr>
            <w:tcW w:w="5637" w:type="dxa"/>
            <w:noWrap/>
          </w:tcPr>
          <w:p w14:paraId="7D5E4772" w14:textId="77777777" w:rsidR="00444A98" w:rsidRPr="00836057" w:rsidRDefault="003C7E2D" w:rsidP="00F422D0">
            <w:pPr>
              <w:spacing w:line="264" w:lineRule="auto"/>
            </w:pPr>
            <w:r w:rsidRPr="00836057">
              <w:t>Jaroslav Hlinka (SK-PSE)</w:t>
            </w:r>
          </w:p>
        </w:tc>
      </w:tr>
      <w:tr w:rsidR="00183B81" w:rsidRPr="00836057" w14:paraId="2AEF2922" w14:textId="77777777" w:rsidTr="00CA0AD7">
        <w:tc>
          <w:tcPr>
            <w:tcW w:w="3652" w:type="dxa"/>
            <w:noWrap/>
          </w:tcPr>
          <w:p w14:paraId="6C003D68" w14:textId="77777777" w:rsidR="00444A98" w:rsidRPr="00836057" w:rsidRDefault="00444A98" w:rsidP="00F422D0">
            <w:pPr>
              <w:spacing w:line="264" w:lineRule="auto"/>
              <w:jc w:val="left"/>
              <w:rPr>
                <w:b/>
                <w:bCs/>
              </w:rPr>
            </w:pPr>
            <w:r w:rsidRPr="00836057">
              <w:rPr>
                <w:b/>
                <w:bCs/>
              </w:rPr>
              <w:t>Nota de análise</w:t>
            </w:r>
          </w:p>
        </w:tc>
        <w:tc>
          <w:tcPr>
            <w:tcW w:w="5637" w:type="dxa"/>
            <w:noWrap/>
          </w:tcPr>
          <w:p w14:paraId="6040A462" w14:textId="77777777" w:rsidR="00444A98" w:rsidRPr="00836057" w:rsidRDefault="00444A98" w:rsidP="00F422D0">
            <w:pPr>
              <w:spacing w:line="264" w:lineRule="auto"/>
            </w:pPr>
          </w:p>
        </w:tc>
      </w:tr>
      <w:tr w:rsidR="00183B81" w:rsidRPr="00836057" w14:paraId="0E7CF671" w14:textId="77777777" w:rsidTr="00CA0AD7">
        <w:tc>
          <w:tcPr>
            <w:tcW w:w="3652" w:type="dxa"/>
            <w:noWrap/>
          </w:tcPr>
          <w:p w14:paraId="3409B58D" w14:textId="77777777" w:rsidR="00444A98" w:rsidRPr="00836057" w:rsidRDefault="00444A98" w:rsidP="00F422D0">
            <w:pPr>
              <w:spacing w:line="264" w:lineRule="auto"/>
              <w:jc w:val="left"/>
              <w:rPr>
                <w:b/>
                <w:bCs/>
              </w:rPr>
            </w:pPr>
            <w:r w:rsidRPr="00836057">
              <w:rPr>
                <w:b/>
                <w:bCs/>
              </w:rPr>
              <w:t xml:space="preserve">Exame em comissão </w:t>
            </w:r>
          </w:p>
        </w:tc>
        <w:tc>
          <w:tcPr>
            <w:tcW w:w="5637" w:type="dxa"/>
            <w:noWrap/>
          </w:tcPr>
          <w:p w14:paraId="73869E8A" w14:textId="77777777" w:rsidR="00444A98" w:rsidRPr="00836057" w:rsidRDefault="003C7E2D" w:rsidP="00F422D0">
            <w:pPr>
              <w:spacing w:line="264" w:lineRule="auto"/>
            </w:pPr>
            <w:r w:rsidRPr="00836057">
              <w:t>25 de junho de 2019</w:t>
            </w:r>
          </w:p>
        </w:tc>
      </w:tr>
      <w:tr w:rsidR="00183B81" w:rsidRPr="00836057" w14:paraId="7D72D086" w14:textId="77777777" w:rsidTr="00CA0AD7">
        <w:tc>
          <w:tcPr>
            <w:tcW w:w="3652" w:type="dxa"/>
            <w:noWrap/>
          </w:tcPr>
          <w:p w14:paraId="6B070C83" w14:textId="77777777" w:rsidR="00444A98" w:rsidRPr="00836057" w:rsidRDefault="00444A98" w:rsidP="00F422D0">
            <w:pPr>
              <w:spacing w:line="264" w:lineRule="auto"/>
              <w:jc w:val="left"/>
              <w:rPr>
                <w:b/>
                <w:bCs/>
              </w:rPr>
            </w:pPr>
            <w:r w:rsidRPr="00836057">
              <w:rPr>
                <w:b/>
                <w:bCs/>
              </w:rPr>
              <w:t xml:space="preserve">Data da adoção em comissão </w:t>
            </w:r>
          </w:p>
        </w:tc>
        <w:tc>
          <w:tcPr>
            <w:tcW w:w="5637" w:type="dxa"/>
            <w:noWrap/>
          </w:tcPr>
          <w:p w14:paraId="0877F807" w14:textId="77777777" w:rsidR="00444A98" w:rsidRPr="00836057" w:rsidRDefault="003C7E2D" w:rsidP="00F422D0">
            <w:pPr>
              <w:spacing w:line="264" w:lineRule="auto"/>
            </w:pPr>
            <w:r w:rsidRPr="00836057">
              <w:t>14 de novembro de 2019</w:t>
            </w:r>
          </w:p>
        </w:tc>
      </w:tr>
      <w:tr w:rsidR="00183B81" w:rsidRPr="00836057" w14:paraId="00D960AA" w14:textId="77777777" w:rsidTr="00CA0AD7">
        <w:tc>
          <w:tcPr>
            <w:tcW w:w="3652" w:type="dxa"/>
            <w:noWrap/>
          </w:tcPr>
          <w:p w14:paraId="38B6966C" w14:textId="77777777" w:rsidR="00444A98" w:rsidRPr="00836057" w:rsidRDefault="00444A98" w:rsidP="00F422D0">
            <w:pPr>
              <w:spacing w:line="264" w:lineRule="auto"/>
              <w:jc w:val="left"/>
              <w:rPr>
                <w:b/>
                <w:bCs/>
              </w:rPr>
            </w:pPr>
            <w:r w:rsidRPr="00836057">
              <w:rPr>
                <w:b/>
                <w:bCs/>
              </w:rPr>
              <w:t>Resultado da votação em comissão</w:t>
            </w:r>
          </w:p>
          <w:p w14:paraId="4FB57CE2" w14:textId="77777777" w:rsidR="00444A98" w:rsidRPr="00836057" w:rsidRDefault="00444A98" w:rsidP="00F422D0">
            <w:pPr>
              <w:spacing w:line="264" w:lineRule="auto"/>
              <w:jc w:val="left"/>
              <w:rPr>
                <w:b/>
                <w:bCs/>
              </w:rPr>
            </w:pPr>
            <w:r w:rsidRPr="00836057">
              <w:rPr>
                <w:b/>
                <w:bCs/>
              </w:rPr>
              <w:t>(maioria, unanimidade)</w:t>
            </w:r>
          </w:p>
        </w:tc>
        <w:tc>
          <w:tcPr>
            <w:tcW w:w="5637" w:type="dxa"/>
            <w:noWrap/>
          </w:tcPr>
          <w:p w14:paraId="0084C72B" w14:textId="77777777" w:rsidR="00444A98" w:rsidRPr="00836057" w:rsidRDefault="00B221E7" w:rsidP="00F422D0">
            <w:pPr>
              <w:spacing w:line="264" w:lineRule="auto"/>
            </w:pPr>
            <w:r w:rsidRPr="00836057">
              <w:t>Maioria</w:t>
            </w:r>
          </w:p>
        </w:tc>
      </w:tr>
      <w:tr w:rsidR="00183B81" w:rsidRPr="00836057" w14:paraId="24EB8F77" w14:textId="77777777" w:rsidTr="00CA0AD7">
        <w:tc>
          <w:tcPr>
            <w:tcW w:w="3652" w:type="dxa"/>
            <w:noWrap/>
          </w:tcPr>
          <w:p w14:paraId="2E5E1B66" w14:textId="340BD60C" w:rsidR="00444A98" w:rsidRPr="00836057" w:rsidRDefault="006D61F8" w:rsidP="00F422D0">
            <w:pPr>
              <w:spacing w:line="264" w:lineRule="auto"/>
              <w:jc w:val="left"/>
              <w:rPr>
                <w:b/>
                <w:bCs/>
              </w:rPr>
            </w:pPr>
            <w:r w:rsidRPr="00836057">
              <w:rPr>
                <w:b/>
                <w:bCs/>
              </w:rPr>
              <w:t xml:space="preserve">Adoção em plenária </w:t>
            </w:r>
          </w:p>
        </w:tc>
        <w:tc>
          <w:tcPr>
            <w:tcW w:w="5637" w:type="dxa"/>
            <w:noWrap/>
          </w:tcPr>
          <w:p w14:paraId="6B4DDB86" w14:textId="451F6134" w:rsidR="00444A98" w:rsidRPr="00836057" w:rsidRDefault="002A59DF" w:rsidP="00F422D0">
            <w:pPr>
              <w:spacing w:line="264" w:lineRule="auto"/>
            </w:pPr>
            <w:r w:rsidRPr="00836057">
              <w:t>12 de fevereiro de 2020</w:t>
            </w:r>
          </w:p>
        </w:tc>
      </w:tr>
      <w:tr w:rsidR="00183B81" w:rsidRPr="00836057" w14:paraId="1B4FE715" w14:textId="77777777" w:rsidTr="00CA0AD7">
        <w:tc>
          <w:tcPr>
            <w:tcW w:w="3652" w:type="dxa"/>
            <w:noWrap/>
          </w:tcPr>
          <w:p w14:paraId="7BEB9A20" w14:textId="77777777" w:rsidR="00444A98" w:rsidRPr="00836057" w:rsidRDefault="00444A98" w:rsidP="00F422D0">
            <w:pPr>
              <w:spacing w:line="264" w:lineRule="auto"/>
              <w:jc w:val="left"/>
              <w:rPr>
                <w:b/>
                <w:bCs/>
              </w:rPr>
            </w:pPr>
            <w:r w:rsidRPr="00836057">
              <w:rPr>
                <w:b/>
                <w:bCs/>
              </w:rPr>
              <w:t xml:space="preserve">Pareceres anteriores do Comité </w:t>
            </w:r>
          </w:p>
        </w:tc>
        <w:tc>
          <w:tcPr>
            <w:tcW w:w="5637" w:type="dxa"/>
            <w:noWrap/>
          </w:tcPr>
          <w:p w14:paraId="1884ABEC" w14:textId="77777777" w:rsidR="004E63C4" w:rsidRPr="00836057" w:rsidRDefault="004E63C4" w:rsidP="00F422D0">
            <w:pPr>
              <w:spacing w:line="264" w:lineRule="auto"/>
            </w:pPr>
            <w:r w:rsidRPr="00836057">
              <w:t>CdR 2352/2018 – Pacote Alargamento 2018</w:t>
            </w:r>
          </w:p>
          <w:p w14:paraId="34C43E99" w14:textId="77777777" w:rsidR="004E63C4" w:rsidRPr="00836057" w:rsidRDefault="004E63C4" w:rsidP="00F422D0">
            <w:pPr>
              <w:spacing w:line="264" w:lineRule="auto"/>
            </w:pPr>
            <w:r w:rsidRPr="00836057">
              <w:t>Relator: Franco Iacop (IT-PSE)</w:t>
            </w:r>
          </w:p>
          <w:p w14:paraId="67A24075" w14:textId="77777777" w:rsidR="004E63C4" w:rsidRPr="00836057" w:rsidRDefault="004E63C4" w:rsidP="00F422D0">
            <w:pPr>
              <w:spacing w:line="264" w:lineRule="auto"/>
            </w:pPr>
          </w:p>
          <w:p w14:paraId="568FB047" w14:textId="77777777" w:rsidR="004E63C4" w:rsidRPr="00836057" w:rsidRDefault="004E63C4" w:rsidP="00F422D0">
            <w:pPr>
              <w:spacing w:line="264" w:lineRule="auto"/>
            </w:pPr>
            <w:r w:rsidRPr="00836057">
              <w:t>CdR 65/2018 – Alargamento: inclusão dos órgãos de poder local e regional dos Balcãs Ocidentais nas estratégias macrorregionais, transfronteiriças e outras iniciativas de cooperação transnacional da UE</w:t>
            </w:r>
          </w:p>
          <w:p w14:paraId="616A8396" w14:textId="77777777" w:rsidR="004E63C4" w:rsidRPr="00836057" w:rsidRDefault="004E63C4" w:rsidP="00F422D0">
            <w:pPr>
              <w:spacing w:line="264" w:lineRule="auto"/>
            </w:pPr>
            <w:r w:rsidRPr="00836057">
              <w:t>Relator: Franz Schausberger (AT-PPE)</w:t>
            </w:r>
          </w:p>
          <w:p w14:paraId="4E46EBA1" w14:textId="77777777" w:rsidR="004E63C4" w:rsidRPr="00836057" w:rsidRDefault="004E63C4" w:rsidP="00F422D0">
            <w:pPr>
              <w:spacing w:line="264" w:lineRule="auto"/>
            </w:pPr>
          </w:p>
          <w:p w14:paraId="11CA6D09" w14:textId="77777777" w:rsidR="004E63C4" w:rsidRPr="00836057" w:rsidRDefault="004E63C4" w:rsidP="00F422D0">
            <w:pPr>
              <w:spacing w:line="264" w:lineRule="auto"/>
            </w:pPr>
            <w:r w:rsidRPr="00836057">
              <w:t>CdR 93/2017 – Estratégia de alargamento da UE para 2016-2017</w:t>
            </w:r>
          </w:p>
          <w:p w14:paraId="1DC5BB2D" w14:textId="77777777" w:rsidR="004E63C4" w:rsidRPr="00836057" w:rsidRDefault="004E63C4" w:rsidP="00F422D0">
            <w:pPr>
              <w:spacing w:line="264" w:lineRule="auto"/>
            </w:pPr>
            <w:r w:rsidRPr="00836057">
              <w:t>Relator: Rait Pihelgas (EE-ALDE)</w:t>
            </w:r>
          </w:p>
          <w:p w14:paraId="45AA7D12" w14:textId="77777777" w:rsidR="004E63C4" w:rsidRPr="00836057" w:rsidRDefault="004E63C4" w:rsidP="00F422D0">
            <w:pPr>
              <w:spacing w:line="264" w:lineRule="auto"/>
            </w:pPr>
          </w:p>
          <w:p w14:paraId="388CFF92" w14:textId="77777777" w:rsidR="004E63C4" w:rsidRPr="00836057" w:rsidRDefault="004E63C4" w:rsidP="00F422D0">
            <w:pPr>
              <w:spacing w:line="264" w:lineRule="auto"/>
            </w:pPr>
            <w:r w:rsidRPr="00836057">
              <w:t>CdR 5896/2015 – Estratégia de alargamento da UE para 2015-2016</w:t>
            </w:r>
          </w:p>
          <w:p w14:paraId="14354A53" w14:textId="77777777" w:rsidR="004E63C4" w:rsidRPr="00836057" w:rsidRDefault="004E63C4" w:rsidP="00F422D0">
            <w:pPr>
              <w:spacing w:line="264" w:lineRule="auto"/>
            </w:pPr>
            <w:r w:rsidRPr="00836057">
              <w:t>Relatora: Anna Magyar (HU-PPE)</w:t>
            </w:r>
          </w:p>
          <w:p w14:paraId="5B71142A" w14:textId="77777777" w:rsidR="004E63C4" w:rsidRPr="00836057" w:rsidRDefault="004E63C4" w:rsidP="00F422D0">
            <w:pPr>
              <w:spacing w:line="264" w:lineRule="auto"/>
            </w:pPr>
          </w:p>
          <w:p w14:paraId="1C1F6A13" w14:textId="77777777" w:rsidR="004E63C4" w:rsidRPr="00836057" w:rsidRDefault="004E63C4" w:rsidP="00F422D0">
            <w:pPr>
              <w:spacing w:line="264" w:lineRule="auto"/>
            </w:pPr>
            <w:r w:rsidRPr="00836057">
              <w:t xml:space="preserve">CdR 5726/2014 – Estratégia de alargamento e principais desafios para 2014-2015 </w:t>
            </w:r>
          </w:p>
          <w:p w14:paraId="7C351412" w14:textId="77777777" w:rsidR="004E63C4" w:rsidRPr="00836057" w:rsidRDefault="004E63C4" w:rsidP="00F422D0">
            <w:pPr>
              <w:spacing w:line="264" w:lineRule="auto"/>
            </w:pPr>
            <w:r w:rsidRPr="00836057">
              <w:t>Relator: Franz Schausberger (AT-PPE)</w:t>
            </w:r>
          </w:p>
        </w:tc>
      </w:tr>
      <w:tr w:rsidR="00183B81" w:rsidRPr="00836057" w14:paraId="495AD6B7" w14:textId="77777777" w:rsidTr="00CA0AD7">
        <w:tc>
          <w:tcPr>
            <w:tcW w:w="3652" w:type="dxa"/>
            <w:noWrap/>
          </w:tcPr>
          <w:p w14:paraId="6360E3DF" w14:textId="77777777" w:rsidR="00444A98" w:rsidRPr="00836057" w:rsidRDefault="00444A98" w:rsidP="00F422D0">
            <w:pPr>
              <w:spacing w:line="264" w:lineRule="auto"/>
              <w:jc w:val="left"/>
              <w:rPr>
                <w:b/>
                <w:bCs/>
              </w:rPr>
            </w:pPr>
            <w:r w:rsidRPr="00836057">
              <w:rPr>
                <w:b/>
                <w:bCs/>
              </w:rPr>
              <w:t>Data de consulta da Rede de Observância da Subsidiariedade</w:t>
            </w:r>
          </w:p>
        </w:tc>
        <w:tc>
          <w:tcPr>
            <w:tcW w:w="5637" w:type="dxa"/>
            <w:noWrap/>
          </w:tcPr>
          <w:p w14:paraId="1712DAA6" w14:textId="77777777" w:rsidR="00444A98" w:rsidRPr="00836057" w:rsidRDefault="004E63C4" w:rsidP="00F422D0">
            <w:pPr>
              <w:spacing w:line="264" w:lineRule="auto"/>
            </w:pPr>
            <w:r w:rsidRPr="00836057">
              <w:t>Não aplicável.</w:t>
            </w:r>
          </w:p>
        </w:tc>
      </w:tr>
    </w:tbl>
    <w:p w14:paraId="3CEBFE1A" w14:textId="77777777" w:rsidR="00F860A6" w:rsidRPr="00836057" w:rsidRDefault="00F860A6" w:rsidP="00F422D0">
      <w:pPr>
        <w:spacing w:line="264" w:lineRule="auto"/>
        <w:jc w:val="center"/>
      </w:pPr>
    </w:p>
    <w:p w14:paraId="447FFA32" w14:textId="77777777" w:rsidR="00444A98" w:rsidRPr="00836057" w:rsidRDefault="00444A98" w:rsidP="00F422D0">
      <w:pPr>
        <w:spacing w:line="264" w:lineRule="auto"/>
        <w:jc w:val="center"/>
      </w:pPr>
      <w:r w:rsidRPr="00836057">
        <w:t>_____________</w:t>
      </w:r>
    </w:p>
    <w:sectPr w:rsidR="00444A98" w:rsidRPr="00836057" w:rsidSect="00836057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7" w:h="16839" w:code="9"/>
      <w:pgMar w:top="1417" w:right="1417" w:bottom="1417" w:left="1417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072E6E" w14:textId="77777777" w:rsidR="00444A98" w:rsidRDefault="00444A98">
      <w:r>
        <w:separator/>
      </w:r>
    </w:p>
  </w:endnote>
  <w:endnote w:type="continuationSeparator" w:id="0">
    <w:p w14:paraId="1D57FA25" w14:textId="77777777" w:rsidR="00444A98" w:rsidRDefault="00444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B0AFEA" w14:textId="77777777" w:rsidR="00836057" w:rsidRPr="00836057" w:rsidRDefault="00836057" w:rsidP="008360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7B5DE" w14:textId="4E414317" w:rsidR="006E1FB3" w:rsidRPr="00836057" w:rsidRDefault="00836057" w:rsidP="00836057">
    <w:pPr>
      <w:pStyle w:val="Footer"/>
    </w:pPr>
    <w:r>
      <w:t xml:space="preserve">COR-2019-02727-00-00-AC-TRA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791153"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= </w:instrText>
    </w:r>
    <w:fldSimple w:instr=" NUMPAGES ">
      <w:r w:rsidR="00791153">
        <w:rPr>
          <w:noProof/>
        </w:rPr>
        <w:instrText>11</w:instrText>
      </w:r>
    </w:fldSimple>
    <w:r>
      <w:instrText xml:space="preserve"> -0 </w:instrText>
    </w:r>
    <w:r>
      <w:fldChar w:fldCharType="separate"/>
    </w:r>
    <w:r w:rsidR="00791153">
      <w:rPr>
        <w:noProof/>
      </w:rPr>
      <w:t>11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2389DF" w14:textId="77777777" w:rsidR="00836057" w:rsidRPr="00836057" w:rsidRDefault="00836057" w:rsidP="0083605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5D0C5" w14:textId="77777777" w:rsidR="00FC2093" w:rsidRPr="00836057" w:rsidRDefault="00FC2093" w:rsidP="0083605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860BD" w14:textId="0BF617BE" w:rsidR="00FC2093" w:rsidRPr="00836057" w:rsidRDefault="00836057" w:rsidP="00836057">
    <w:pPr>
      <w:pStyle w:val="Footer"/>
    </w:pPr>
    <w:r>
      <w:t xml:space="preserve">COR-2019-02727-00-00-AC-TRA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791153">
      <w:rPr>
        <w:noProof/>
      </w:rPr>
      <w:t>11</w:t>
    </w:r>
    <w:r>
      <w:fldChar w:fldCharType="end"/>
    </w:r>
    <w:r>
      <w:t>/</w:t>
    </w:r>
    <w:r>
      <w:fldChar w:fldCharType="begin"/>
    </w:r>
    <w:r>
      <w:instrText xml:space="preserve"> = </w:instrText>
    </w:r>
    <w:fldSimple w:instr=" NUMPAGES ">
      <w:r w:rsidR="00791153">
        <w:rPr>
          <w:noProof/>
        </w:rPr>
        <w:instrText>11</w:instrText>
      </w:r>
    </w:fldSimple>
    <w:r>
      <w:instrText xml:space="preserve"> -0 </w:instrText>
    </w:r>
    <w:r>
      <w:fldChar w:fldCharType="separate"/>
    </w:r>
    <w:r w:rsidR="00791153">
      <w:rPr>
        <w:noProof/>
      </w:rPr>
      <w:t>11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A9BFB" w14:textId="77777777" w:rsidR="00FC2093" w:rsidRPr="00836057" w:rsidRDefault="00FC2093" w:rsidP="008360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07106" w14:textId="77777777" w:rsidR="00444A98" w:rsidRDefault="00444A98">
      <w:r>
        <w:separator/>
      </w:r>
    </w:p>
  </w:footnote>
  <w:footnote w:type="continuationSeparator" w:id="0">
    <w:p w14:paraId="62AC0447" w14:textId="77777777" w:rsidR="00444A98" w:rsidRDefault="00444A98">
      <w:r>
        <w:continuationSeparator/>
      </w:r>
    </w:p>
  </w:footnote>
  <w:footnote w:id="1">
    <w:p w14:paraId="0EBDDEE5" w14:textId="77777777" w:rsidR="00CE6C40" w:rsidRPr="00836057" w:rsidRDefault="00CE6C40">
      <w:pPr>
        <w:pStyle w:val="FootnoteText"/>
      </w:pPr>
      <w:r w:rsidRPr="00836057">
        <w:rPr>
          <w:rStyle w:val="FootnoteReference"/>
        </w:rPr>
        <w:sym w:font="Symbol" w:char="F02A"/>
      </w:r>
      <w:r w:rsidRPr="00836057">
        <w:t xml:space="preserve"> </w:t>
      </w:r>
      <w:r w:rsidRPr="00836057">
        <w:tab/>
        <w:t>Esta designação não prejudica as posições relativas ao estatuto do Kosovo e está conforme com a Resolução n.º 1244/1999 do Conselho de Segurança das Nações Unidas e o parecer do Tribunal Internacional de Justiça (TIJ) sobre a declaração de independência do Kosovo.</w:t>
      </w:r>
    </w:p>
  </w:footnote>
  <w:footnote w:id="2">
    <w:p w14:paraId="251CA4DD" w14:textId="77777777" w:rsidR="00761E6C" w:rsidRPr="00836057" w:rsidRDefault="00761E6C">
      <w:pPr>
        <w:pStyle w:val="FootnoteText"/>
      </w:pPr>
      <w:r w:rsidRPr="00836057">
        <w:rPr>
          <w:rStyle w:val="FootnoteReference"/>
        </w:rPr>
        <w:footnoteRef/>
      </w:r>
      <w:r w:rsidRPr="00836057">
        <w:t xml:space="preserve"> </w:t>
      </w:r>
      <w:r w:rsidRPr="00836057">
        <w:tab/>
        <w:t>Resolução do Parlamento Europeu (2019/2883 (RSP)).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E40AF" w14:textId="77777777" w:rsidR="00836057" w:rsidRPr="00836057" w:rsidRDefault="00836057" w:rsidP="008360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4ED91C" w14:textId="77777777" w:rsidR="00836057" w:rsidRPr="00836057" w:rsidRDefault="00836057" w:rsidP="008360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F34A5" w14:textId="77777777" w:rsidR="00836057" w:rsidRPr="00836057" w:rsidRDefault="00836057" w:rsidP="0083605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F5F58" w14:textId="77777777" w:rsidR="00FC2093" w:rsidRPr="00836057" w:rsidRDefault="00FC2093" w:rsidP="0083605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D491D" w14:textId="05FC9439" w:rsidR="00FC2093" w:rsidRPr="00836057" w:rsidRDefault="00FC2093" w:rsidP="0083605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46C9E" w14:textId="77777777" w:rsidR="00FC2093" w:rsidRPr="00836057" w:rsidRDefault="00FC2093" w:rsidP="008360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123AAA86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2054697D"/>
    <w:multiLevelType w:val="hybridMultilevel"/>
    <w:tmpl w:val="7576BDE0"/>
    <w:lvl w:ilvl="0" w:tplc="9BDE0DC2">
      <w:start w:val="1"/>
      <w:numFmt w:val="bullet"/>
      <w:lvlRestart w:val="0"/>
      <w:lvlText w:val=""/>
      <w:lvlJc w:val="left"/>
      <w:pPr>
        <w:tabs>
          <w:tab w:val="num" w:pos="0"/>
        </w:tabs>
        <w:ind w:left="369" w:hanging="369"/>
      </w:pPr>
      <w:rPr>
        <w:rFonts w:ascii="Symbol" w:hAnsi="Symbol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60A7F"/>
    <w:multiLevelType w:val="hybridMultilevel"/>
    <w:tmpl w:val="B9D25A84"/>
    <w:lvl w:ilvl="0" w:tplc="9BDE0DC2">
      <w:start w:val="1"/>
      <w:numFmt w:val="bullet"/>
      <w:lvlRestart w:val="0"/>
      <w:lvlText w:val=""/>
      <w:lvlJc w:val="left"/>
      <w:pPr>
        <w:tabs>
          <w:tab w:val="num" w:pos="0"/>
        </w:tabs>
        <w:ind w:left="369" w:hanging="369"/>
      </w:pPr>
      <w:rPr>
        <w:rFonts w:ascii="Symbol" w:hAnsi="Symbol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B0160"/>
    <w:multiLevelType w:val="hybridMultilevel"/>
    <w:tmpl w:val="E9C829AE"/>
    <w:lvl w:ilvl="0" w:tplc="9BDE0DC2">
      <w:start w:val="1"/>
      <w:numFmt w:val="bullet"/>
      <w:lvlRestart w:val="0"/>
      <w:lvlText w:val=""/>
      <w:lvlJc w:val="left"/>
      <w:pPr>
        <w:tabs>
          <w:tab w:val="num" w:pos="0"/>
        </w:tabs>
        <w:ind w:left="369" w:hanging="369"/>
      </w:pPr>
      <w:rPr>
        <w:rFonts w:ascii="Symbol" w:hAnsi="Symbol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921A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AC56566"/>
    <w:multiLevelType w:val="hybridMultilevel"/>
    <w:tmpl w:val="A50C394E"/>
    <w:lvl w:ilvl="0" w:tplc="87125F4E">
      <w:start w:val="1"/>
      <w:numFmt w:val="bullet"/>
      <w:lvlRestart w:val="0"/>
      <w:lvlText w:val=""/>
      <w:lvlJc w:val="left"/>
      <w:pPr>
        <w:tabs>
          <w:tab w:val="num" w:pos="720"/>
        </w:tabs>
        <w:ind w:left="1089" w:hanging="369"/>
      </w:pPr>
      <w:rPr>
        <w:rFonts w:ascii="Symbol" w:hAnsi="Symbol" w:hint="default"/>
        <w:b w:val="0"/>
        <w:i w:val="0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E7D78EF"/>
    <w:multiLevelType w:val="hybridMultilevel"/>
    <w:tmpl w:val="51AA6D0A"/>
    <w:lvl w:ilvl="0" w:tplc="23969108">
      <w:start w:val="1"/>
      <w:numFmt w:val="bullet"/>
      <w:lvlRestart w:val="0"/>
      <w:lvlText w:val="-"/>
      <w:lvlJc w:val="left"/>
      <w:pPr>
        <w:tabs>
          <w:tab w:val="num" w:pos="0"/>
        </w:tabs>
        <w:ind w:left="369" w:hanging="369"/>
      </w:pPr>
      <w:rPr>
        <w:rFonts w:ascii="Symbol" w:hAnsi="Symbol" w:hint="default"/>
        <w:b w:val="0"/>
        <w:i w:val="0"/>
        <w:sz w:val="22"/>
      </w:rPr>
    </w:lvl>
    <w:lvl w:ilvl="1" w:tplc="9BDE0DC2">
      <w:start w:val="1"/>
      <w:numFmt w:val="bullet"/>
      <w:lvlRestart w:val="0"/>
      <w:lvlText w:val=""/>
      <w:lvlJc w:val="left"/>
      <w:pPr>
        <w:tabs>
          <w:tab w:val="num" w:pos="1080"/>
        </w:tabs>
        <w:ind w:left="1449" w:hanging="369"/>
      </w:pPr>
      <w:rPr>
        <w:rFonts w:ascii="Symbol" w:hAnsi="Symbol" w:hint="default"/>
        <w:b w:val="0"/>
        <w:i w:val="0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D6FF8"/>
    <w:multiLevelType w:val="hybridMultilevel"/>
    <w:tmpl w:val="ABC66076"/>
    <w:lvl w:ilvl="0" w:tplc="9BDE0DC2">
      <w:start w:val="1"/>
      <w:numFmt w:val="bullet"/>
      <w:lvlRestart w:val="0"/>
      <w:lvlText w:val=""/>
      <w:lvlJc w:val="left"/>
      <w:pPr>
        <w:tabs>
          <w:tab w:val="num" w:pos="0"/>
        </w:tabs>
        <w:ind w:left="369" w:hanging="369"/>
      </w:pPr>
      <w:rPr>
        <w:rFonts w:ascii="Symbol" w:hAnsi="Symbol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357B7A"/>
    <w:multiLevelType w:val="hybridMultilevel"/>
    <w:tmpl w:val="51AA6D0A"/>
    <w:lvl w:ilvl="0" w:tplc="8BFAA160">
      <w:start w:val="1"/>
      <w:numFmt w:val="bullet"/>
      <w:lvlRestart w:val="0"/>
      <w:lvlText w:val="-"/>
      <w:lvlJc w:val="left"/>
      <w:pPr>
        <w:tabs>
          <w:tab w:val="num" w:pos="0"/>
        </w:tabs>
        <w:ind w:left="369" w:hanging="369"/>
      </w:pPr>
      <w:rPr>
        <w:rFonts w:ascii="Symbol" w:hAnsi="Symbol" w:hint="default"/>
        <w:b w:val="0"/>
        <w:i w:val="0"/>
        <w:sz w:val="22"/>
      </w:rPr>
    </w:lvl>
    <w:lvl w:ilvl="1" w:tplc="9BDE0DC2">
      <w:start w:val="1"/>
      <w:numFmt w:val="bullet"/>
      <w:lvlRestart w:val="0"/>
      <w:lvlText w:val=""/>
      <w:lvlJc w:val="left"/>
      <w:pPr>
        <w:tabs>
          <w:tab w:val="num" w:pos="1080"/>
        </w:tabs>
        <w:ind w:left="1449" w:hanging="369"/>
      </w:pPr>
      <w:rPr>
        <w:rFonts w:ascii="Symbol" w:hAnsi="Symbol" w:hint="default"/>
        <w:b w:val="0"/>
        <w:i w:val="0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227B42"/>
    <w:multiLevelType w:val="hybridMultilevel"/>
    <w:tmpl w:val="D7C6597E"/>
    <w:lvl w:ilvl="0" w:tplc="9BDE0DC2">
      <w:start w:val="1"/>
      <w:numFmt w:val="bullet"/>
      <w:lvlRestart w:val="0"/>
      <w:lvlText w:val=""/>
      <w:lvlJc w:val="left"/>
      <w:pPr>
        <w:tabs>
          <w:tab w:val="num" w:pos="0"/>
        </w:tabs>
        <w:ind w:left="369" w:hanging="369"/>
      </w:pPr>
      <w:rPr>
        <w:rFonts w:ascii="Symbol" w:hAnsi="Symbol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F1A45"/>
    <w:multiLevelType w:val="hybridMultilevel"/>
    <w:tmpl w:val="FB72D8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0435DA"/>
    <w:multiLevelType w:val="hybridMultilevel"/>
    <w:tmpl w:val="E10ADE12"/>
    <w:lvl w:ilvl="0" w:tplc="70329F4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C65A12"/>
    <w:multiLevelType w:val="hybridMultilevel"/>
    <w:tmpl w:val="36164AD6"/>
    <w:lvl w:ilvl="0" w:tplc="9BDE0DC2">
      <w:start w:val="1"/>
      <w:numFmt w:val="bullet"/>
      <w:lvlRestart w:val="0"/>
      <w:lvlText w:val=""/>
      <w:lvlJc w:val="left"/>
      <w:pPr>
        <w:tabs>
          <w:tab w:val="num" w:pos="0"/>
        </w:tabs>
        <w:ind w:left="369" w:hanging="369"/>
      </w:pPr>
      <w:rPr>
        <w:rFonts w:ascii="Symbol" w:hAnsi="Symbol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D91568"/>
    <w:multiLevelType w:val="hybridMultilevel"/>
    <w:tmpl w:val="F4DE7EBC"/>
    <w:lvl w:ilvl="0" w:tplc="9BDE0DC2">
      <w:start w:val="1"/>
      <w:numFmt w:val="bullet"/>
      <w:lvlRestart w:val="0"/>
      <w:lvlText w:val=""/>
      <w:lvlJc w:val="left"/>
      <w:pPr>
        <w:tabs>
          <w:tab w:val="num" w:pos="0"/>
        </w:tabs>
        <w:ind w:left="369" w:hanging="369"/>
      </w:pPr>
      <w:rPr>
        <w:rFonts w:ascii="Symbol" w:hAnsi="Symbol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0555C"/>
    <w:multiLevelType w:val="hybridMultilevel"/>
    <w:tmpl w:val="DF126144"/>
    <w:lvl w:ilvl="0" w:tplc="015ED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063133"/>
    <w:multiLevelType w:val="hybridMultilevel"/>
    <w:tmpl w:val="37BA42EA"/>
    <w:lvl w:ilvl="0" w:tplc="61429412">
      <w:start w:val="1"/>
      <w:numFmt w:val="bullet"/>
      <w:lvlRestart w:val="0"/>
      <w:lvlText w:val="–"/>
      <w:lvlJc w:val="left"/>
      <w:pPr>
        <w:tabs>
          <w:tab w:val="num" w:pos="1089"/>
        </w:tabs>
        <w:ind w:left="1089" w:hanging="369"/>
      </w:pPr>
      <w:rPr>
        <w:rFonts w:ascii="Times New Roman" w:hAnsi="Times New Roman" w:hint="default"/>
        <w:b w:val="0"/>
        <w:i w:val="0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20B5A11"/>
    <w:multiLevelType w:val="hybridMultilevel"/>
    <w:tmpl w:val="2EF85972"/>
    <w:lvl w:ilvl="0" w:tplc="011E4778">
      <w:start w:val="1"/>
      <w:numFmt w:val="upperRoman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BC5746"/>
    <w:multiLevelType w:val="hybridMultilevel"/>
    <w:tmpl w:val="CA7EF60E"/>
    <w:lvl w:ilvl="0" w:tplc="E9DC4696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15"/>
  </w:num>
  <w:num w:numId="4">
    <w:abstractNumId w:val="6"/>
  </w:num>
  <w:num w:numId="5">
    <w:abstractNumId w:val="8"/>
  </w:num>
  <w:num w:numId="6">
    <w:abstractNumId w:val="3"/>
  </w:num>
  <w:num w:numId="7">
    <w:abstractNumId w:val="1"/>
  </w:num>
  <w:num w:numId="8">
    <w:abstractNumId w:val="13"/>
  </w:num>
  <w:num w:numId="9">
    <w:abstractNumId w:val="9"/>
  </w:num>
  <w:num w:numId="10">
    <w:abstractNumId w:val="12"/>
  </w:num>
  <w:num w:numId="11">
    <w:abstractNumId w:val="2"/>
  </w:num>
  <w:num w:numId="12">
    <w:abstractNumId w:val="7"/>
  </w:num>
  <w:num w:numId="13">
    <w:abstractNumId w:val="17"/>
  </w:num>
  <w:num w:numId="14">
    <w:abstractNumId w:val="10"/>
  </w:num>
  <w:num w:numId="15">
    <w:abstractNumId w:val="4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 w:numId="54">
    <w:abstractNumId w:val="0"/>
  </w:num>
  <w:num w:numId="55">
    <w:abstractNumId w:val="0"/>
  </w:num>
  <w:num w:numId="56">
    <w:abstractNumId w:val="0"/>
  </w:num>
  <w:num w:numId="57">
    <w:abstractNumId w:val="0"/>
  </w:num>
  <w:num w:numId="58">
    <w:abstractNumId w:val="0"/>
  </w:num>
  <w:num w:numId="59">
    <w:abstractNumId w:val="0"/>
  </w:num>
  <w:num w:numId="60">
    <w:abstractNumId w:val="0"/>
  </w:num>
  <w:num w:numId="61">
    <w:abstractNumId w:val="0"/>
  </w:num>
  <w:num w:numId="62">
    <w:abstractNumId w:val="0"/>
  </w:num>
  <w:num w:numId="63">
    <w:abstractNumId w:val="0"/>
  </w:num>
  <w:num w:numId="64">
    <w:abstractNumId w:val="0"/>
  </w:num>
  <w:num w:numId="65">
    <w:abstractNumId w:val="0"/>
  </w:num>
  <w:num w:numId="66">
    <w:abstractNumId w:val="0"/>
  </w:num>
  <w:num w:numId="67">
    <w:abstractNumId w:val="16"/>
  </w:num>
  <w:num w:numId="68">
    <w:abstractNumId w:val="14"/>
  </w:num>
  <w:num w:numId="69">
    <w:abstractNumId w:val="11"/>
  </w:num>
  <w:num w:numId="70">
    <w:abstractNumId w:val="14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rawingGridHorizontalSpacing w:val="110"/>
  <w:drawingGridVerticalSpacing w:val="299"/>
  <w:displayHorizontalDrawingGridEvery w:val="2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B94"/>
    <w:rsid w:val="000130C2"/>
    <w:rsid w:val="00020D7F"/>
    <w:rsid w:val="0003063D"/>
    <w:rsid w:val="00031D54"/>
    <w:rsid w:val="00033519"/>
    <w:rsid w:val="0004792D"/>
    <w:rsid w:val="00050181"/>
    <w:rsid w:val="000615B3"/>
    <w:rsid w:val="00063D0B"/>
    <w:rsid w:val="00067BA8"/>
    <w:rsid w:val="00076736"/>
    <w:rsid w:val="00080EC3"/>
    <w:rsid w:val="00083AE8"/>
    <w:rsid w:val="00090EFF"/>
    <w:rsid w:val="0009583E"/>
    <w:rsid w:val="000B3EFB"/>
    <w:rsid w:val="000B74D3"/>
    <w:rsid w:val="000C3BC1"/>
    <w:rsid w:val="000D6A84"/>
    <w:rsid w:val="000F4240"/>
    <w:rsid w:val="00101FBB"/>
    <w:rsid w:val="001050CC"/>
    <w:rsid w:val="00112E32"/>
    <w:rsid w:val="0012190B"/>
    <w:rsid w:val="0013749C"/>
    <w:rsid w:val="001449B8"/>
    <w:rsid w:val="0015645B"/>
    <w:rsid w:val="00183B81"/>
    <w:rsid w:val="001B0588"/>
    <w:rsid w:val="001B33A4"/>
    <w:rsid w:val="001C66A9"/>
    <w:rsid w:val="001E5620"/>
    <w:rsid w:val="001E600C"/>
    <w:rsid w:val="001F1AB8"/>
    <w:rsid w:val="002033F5"/>
    <w:rsid w:val="002054D0"/>
    <w:rsid w:val="002302F1"/>
    <w:rsid w:val="00254B94"/>
    <w:rsid w:val="0026767E"/>
    <w:rsid w:val="00286317"/>
    <w:rsid w:val="00293319"/>
    <w:rsid w:val="002A59DF"/>
    <w:rsid w:val="002A67BF"/>
    <w:rsid w:val="002B1E5E"/>
    <w:rsid w:val="002B6F85"/>
    <w:rsid w:val="002D618D"/>
    <w:rsid w:val="002F03D6"/>
    <w:rsid w:val="003112C5"/>
    <w:rsid w:val="00322488"/>
    <w:rsid w:val="00334D96"/>
    <w:rsid w:val="003563A4"/>
    <w:rsid w:val="00367564"/>
    <w:rsid w:val="00373ED4"/>
    <w:rsid w:val="00383975"/>
    <w:rsid w:val="003A043C"/>
    <w:rsid w:val="003B0723"/>
    <w:rsid w:val="003B1C77"/>
    <w:rsid w:val="003C0F98"/>
    <w:rsid w:val="003C369A"/>
    <w:rsid w:val="003C7E2D"/>
    <w:rsid w:val="003D4303"/>
    <w:rsid w:val="003E36D0"/>
    <w:rsid w:val="003E420C"/>
    <w:rsid w:val="00401EE2"/>
    <w:rsid w:val="00406724"/>
    <w:rsid w:val="00406B9D"/>
    <w:rsid w:val="00420C7E"/>
    <w:rsid w:val="004218F5"/>
    <w:rsid w:val="004336B4"/>
    <w:rsid w:val="00433958"/>
    <w:rsid w:val="00444A98"/>
    <w:rsid w:val="00454AD9"/>
    <w:rsid w:val="00475484"/>
    <w:rsid w:val="004A0C7C"/>
    <w:rsid w:val="004A41CF"/>
    <w:rsid w:val="004E0DC0"/>
    <w:rsid w:val="004E605D"/>
    <w:rsid w:val="004E63C4"/>
    <w:rsid w:val="00511212"/>
    <w:rsid w:val="00555485"/>
    <w:rsid w:val="00575FC1"/>
    <w:rsid w:val="00583866"/>
    <w:rsid w:val="005918A5"/>
    <w:rsid w:val="005A41BB"/>
    <w:rsid w:val="005A7F8D"/>
    <w:rsid w:val="005B233D"/>
    <w:rsid w:val="005B2905"/>
    <w:rsid w:val="005C36CD"/>
    <w:rsid w:val="005C4B78"/>
    <w:rsid w:val="005C4F1C"/>
    <w:rsid w:val="005D31A6"/>
    <w:rsid w:val="005E58C7"/>
    <w:rsid w:val="005F7D6F"/>
    <w:rsid w:val="006056C6"/>
    <w:rsid w:val="00615E3B"/>
    <w:rsid w:val="006178E4"/>
    <w:rsid w:val="006311E4"/>
    <w:rsid w:val="00692478"/>
    <w:rsid w:val="006A4A0A"/>
    <w:rsid w:val="006B004C"/>
    <w:rsid w:val="006C0FD8"/>
    <w:rsid w:val="006D0087"/>
    <w:rsid w:val="006D61F8"/>
    <w:rsid w:val="006D78CA"/>
    <w:rsid w:val="006E1FB3"/>
    <w:rsid w:val="006E4AE9"/>
    <w:rsid w:val="006F3AAA"/>
    <w:rsid w:val="0071343B"/>
    <w:rsid w:val="00720994"/>
    <w:rsid w:val="00737B0A"/>
    <w:rsid w:val="00741865"/>
    <w:rsid w:val="0075508D"/>
    <w:rsid w:val="00761E6C"/>
    <w:rsid w:val="00783F41"/>
    <w:rsid w:val="00785967"/>
    <w:rsid w:val="00791153"/>
    <w:rsid w:val="007A6D76"/>
    <w:rsid w:val="007B10B2"/>
    <w:rsid w:val="007B2E4D"/>
    <w:rsid w:val="007B774D"/>
    <w:rsid w:val="007C3773"/>
    <w:rsid w:val="007E3B99"/>
    <w:rsid w:val="007F0079"/>
    <w:rsid w:val="007F0FC4"/>
    <w:rsid w:val="007F68C4"/>
    <w:rsid w:val="007F74D7"/>
    <w:rsid w:val="00810512"/>
    <w:rsid w:val="00814E13"/>
    <w:rsid w:val="00814EF3"/>
    <w:rsid w:val="008224B6"/>
    <w:rsid w:val="008319F4"/>
    <w:rsid w:val="00833949"/>
    <w:rsid w:val="00834DFA"/>
    <w:rsid w:val="00836057"/>
    <w:rsid w:val="00837FA5"/>
    <w:rsid w:val="00847E17"/>
    <w:rsid w:val="00861745"/>
    <w:rsid w:val="00866F5C"/>
    <w:rsid w:val="00876AAF"/>
    <w:rsid w:val="008B032F"/>
    <w:rsid w:val="008B1C2A"/>
    <w:rsid w:val="008B2EC3"/>
    <w:rsid w:val="008D3638"/>
    <w:rsid w:val="008D5CBC"/>
    <w:rsid w:val="00913B7D"/>
    <w:rsid w:val="009352AE"/>
    <w:rsid w:val="0094101A"/>
    <w:rsid w:val="00984506"/>
    <w:rsid w:val="00993739"/>
    <w:rsid w:val="0099562C"/>
    <w:rsid w:val="009A16C1"/>
    <w:rsid w:val="009A6E15"/>
    <w:rsid w:val="009B67BE"/>
    <w:rsid w:val="009F0B69"/>
    <w:rsid w:val="009F7D37"/>
    <w:rsid w:val="00A012E5"/>
    <w:rsid w:val="00A402C8"/>
    <w:rsid w:val="00A53FEB"/>
    <w:rsid w:val="00A80997"/>
    <w:rsid w:val="00A84676"/>
    <w:rsid w:val="00A911A9"/>
    <w:rsid w:val="00A91F95"/>
    <w:rsid w:val="00A928D2"/>
    <w:rsid w:val="00A96FE3"/>
    <w:rsid w:val="00AA77B1"/>
    <w:rsid w:val="00AB0937"/>
    <w:rsid w:val="00AB2BBC"/>
    <w:rsid w:val="00AE24D3"/>
    <w:rsid w:val="00AE4401"/>
    <w:rsid w:val="00B213A9"/>
    <w:rsid w:val="00B221E7"/>
    <w:rsid w:val="00B33062"/>
    <w:rsid w:val="00B33430"/>
    <w:rsid w:val="00B37612"/>
    <w:rsid w:val="00B544B2"/>
    <w:rsid w:val="00B57109"/>
    <w:rsid w:val="00B65DB1"/>
    <w:rsid w:val="00BB4B32"/>
    <w:rsid w:val="00BE061F"/>
    <w:rsid w:val="00BE3E20"/>
    <w:rsid w:val="00BF7AE7"/>
    <w:rsid w:val="00C21760"/>
    <w:rsid w:val="00C3552F"/>
    <w:rsid w:val="00C5746C"/>
    <w:rsid w:val="00C639CA"/>
    <w:rsid w:val="00C82639"/>
    <w:rsid w:val="00CA0AD7"/>
    <w:rsid w:val="00CA6B49"/>
    <w:rsid w:val="00CB717D"/>
    <w:rsid w:val="00CB7BAE"/>
    <w:rsid w:val="00CD7752"/>
    <w:rsid w:val="00CE0958"/>
    <w:rsid w:val="00CE5929"/>
    <w:rsid w:val="00CE6C40"/>
    <w:rsid w:val="00D144AF"/>
    <w:rsid w:val="00D46F0D"/>
    <w:rsid w:val="00DA0453"/>
    <w:rsid w:val="00DA085F"/>
    <w:rsid w:val="00DA3D38"/>
    <w:rsid w:val="00DA3DEA"/>
    <w:rsid w:val="00DA556C"/>
    <w:rsid w:val="00DB44C4"/>
    <w:rsid w:val="00DB7F22"/>
    <w:rsid w:val="00DC55CB"/>
    <w:rsid w:val="00DD66B3"/>
    <w:rsid w:val="00DE0FAD"/>
    <w:rsid w:val="00DE5160"/>
    <w:rsid w:val="00DE664B"/>
    <w:rsid w:val="00DF5986"/>
    <w:rsid w:val="00DF7D46"/>
    <w:rsid w:val="00E20D88"/>
    <w:rsid w:val="00E30D3A"/>
    <w:rsid w:val="00E52232"/>
    <w:rsid w:val="00E5664A"/>
    <w:rsid w:val="00E60C07"/>
    <w:rsid w:val="00E67837"/>
    <w:rsid w:val="00E83AE3"/>
    <w:rsid w:val="00E83E7B"/>
    <w:rsid w:val="00E86320"/>
    <w:rsid w:val="00EB3330"/>
    <w:rsid w:val="00EB3B52"/>
    <w:rsid w:val="00EC346E"/>
    <w:rsid w:val="00EC7166"/>
    <w:rsid w:val="00F224DC"/>
    <w:rsid w:val="00F37BEB"/>
    <w:rsid w:val="00F40F26"/>
    <w:rsid w:val="00F422D0"/>
    <w:rsid w:val="00F42EDA"/>
    <w:rsid w:val="00F45402"/>
    <w:rsid w:val="00F55286"/>
    <w:rsid w:val="00F70D66"/>
    <w:rsid w:val="00F84BCE"/>
    <w:rsid w:val="00F85741"/>
    <w:rsid w:val="00F860A6"/>
    <w:rsid w:val="00F8719D"/>
    <w:rsid w:val="00F90F5A"/>
    <w:rsid w:val="00FA1EEE"/>
    <w:rsid w:val="00FC2093"/>
    <w:rsid w:val="00FD1B50"/>
    <w:rsid w:val="00FD45CE"/>
    <w:rsid w:val="00FE085F"/>
    <w:rsid w:val="00FE7B56"/>
    <w:rsid w:val="00FF53DC"/>
    <w:rsid w:val="00FF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B32AF2E"/>
  <w15:docId w15:val="{29C11530-5558-4075-BDD1-E6309A4F2A0C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0958"/>
    <w:pPr>
      <w:spacing w:line="288" w:lineRule="auto"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E0958"/>
    <w:pPr>
      <w:numPr>
        <w:numId w:val="1"/>
      </w:numPr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CE0958"/>
    <w:pPr>
      <w:numPr>
        <w:ilvl w:val="1"/>
        <w:numId w:val="1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CE0958"/>
    <w:pPr>
      <w:numPr>
        <w:ilvl w:val="2"/>
        <w:numId w:val="1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CE0958"/>
    <w:pPr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CE0958"/>
    <w:pPr>
      <w:numPr>
        <w:ilvl w:val="4"/>
        <w:numId w:val="1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CE0958"/>
    <w:pPr>
      <w:numPr>
        <w:ilvl w:val="5"/>
        <w:numId w:val="1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CE0958"/>
    <w:pPr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CE0958"/>
    <w:pPr>
      <w:numPr>
        <w:ilvl w:val="7"/>
        <w:numId w:val="1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CE0958"/>
    <w:pPr>
      <w:numPr>
        <w:ilvl w:val="8"/>
        <w:numId w:val="1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D66A8"/>
    <w:rPr>
      <w:kern w:val="28"/>
      <w:sz w:val="22"/>
      <w:szCs w:val="22"/>
      <w:lang w:val="pt-PT" w:eastAsia="en-US"/>
    </w:rPr>
  </w:style>
  <w:style w:type="character" w:customStyle="1" w:styleId="Heading2Char">
    <w:name w:val="Heading 2 Char"/>
    <w:basedOn w:val="DefaultParagraphFont"/>
    <w:link w:val="Heading2"/>
    <w:rsid w:val="009D66A8"/>
    <w:rPr>
      <w:sz w:val="22"/>
      <w:szCs w:val="22"/>
      <w:lang w:val="pt-PT" w:eastAsia="en-US"/>
    </w:rPr>
  </w:style>
  <w:style w:type="character" w:customStyle="1" w:styleId="Heading3Char">
    <w:name w:val="Heading 3 Char"/>
    <w:basedOn w:val="DefaultParagraphFont"/>
    <w:link w:val="Heading3"/>
    <w:rsid w:val="009D66A8"/>
    <w:rPr>
      <w:sz w:val="22"/>
      <w:szCs w:val="22"/>
      <w:lang w:val="pt-PT" w:eastAsia="en-US"/>
    </w:rPr>
  </w:style>
  <w:style w:type="character" w:customStyle="1" w:styleId="Heading4Char">
    <w:name w:val="Heading 4 Char"/>
    <w:basedOn w:val="DefaultParagraphFont"/>
    <w:link w:val="Heading4"/>
    <w:rsid w:val="009D66A8"/>
    <w:rPr>
      <w:sz w:val="22"/>
      <w:szCs w:val="22"/>
      <w:lang w:val="pt-PT" w:eastAsia="en-US"/>
    </w:rPr>
  </w:style>
  <w:style w:type="character" w:customStyle="1" w:styleId="Heading5Char">
    <w:name w:val="Heading 5 Char"/>
    <w:basedOn w:val="DefaultParagraphFont"/>
    <w:link w:val="Heading5"/>
    <w:rsid w:val="009D66A8"/>
    <w:rPr>
      <w:sz w:val="22"/>
      <w:szCs w:val="22"/>
      <w:lang w:val="pt-PT" w:eastAsia="en-US"/>
    </w:rPr>
  </w:style>
  <w:style w:type="character" w:customStyle="1" w:styleId="Heading6Char">
    <w:name w:val="Heading 6 Char"/>
    <w:basedOn w:val="DefaultParagraphFont"/>
    <w:link w:val="Heading6"/>
    <w:rsid w:val="009D66A8"/>
    <w:rPr>
      <w:sz w:val="22"/>
      <w:szCs w:val="22"/>
      <w:lang w:val="pt-PT" w:eastAsia="en-US"/>
    </w:rPr>
  </w:style>
  <w:style w:type="character" w:customStyle="1" w:styleId="Heading7Char">
    <w:name w:val="Heading 7 Char"/>
    <w:basedOn w:val="DefaultParagraphFont"/>
    <w:link w:val="Heading7"/>
    <w:rsid w:val="009D66A8"/>
    <w:rPr>
      <w:sz w:val="22"/>
      <w:szCs w:val="22"/>
      <w:lang w:val="pt-PT" w:eastAsia="en-US"/>
    </w:rPr>
  </w:style>
  <w:style w:type="character" w:customStyle="1" w:styleId="Heading8Char">
    <w:name w:val="Heading 8 Char"/>
    <w:basedOn w:val="DefaultParagraphFont"/>
    <w:link w:val="Heading8"/>
    <w:rsid w:val="009D66A8"/>
    <w:rPr>
      <w:sz w:val="22"/>
      <w:szCs w:val="22"/>
      <w:lang w:val="pt-PT" w:eastAsia="en-US"/>
    </w:rPr>
  </w:style>
  <w:style w:type="character" w:customStyle="1" w:styleId="Heading9Char">
    <w:name w:val="Heading 9 Char"/>
    <w:basedOn w:val="DefaultParagraphFont"/>
    <w:link w:val="Heading9"/>
    <w:rsid w:val="009D66A8"/>
    <w:rPr>
      <w:sz w:val="22"/>
      <w:szCs w:val="22"/>
      <w:lang w:val="pt-PT" w:eastAsia="en-US"/>
    </w:rPr>
  </w:style>
  <w:style w:type="paragraph" w:styleId="Footer">
    <w:name w:val="footer"/>
    <w:basedOn w:val="Normal"/>
    <w:link w:val="FooterChar"/>
    <w:qFormat/>
    <w:rsid w:val="00CE0958"/>
  </w:style>
  <w:style w:type="character" w:customStyle="1" w:styleId="FooterChar">
    <w:name w:val="Footer Char"/>
    <w:basedOn w:val="DefaultParagraphFont"/>
    <w:link w:val="Footer"/>
    <w:rsid w:val="009D66A8"/>
    <w:rPr>
      <w:sz w:val="22"/>
      <w:szCs w:val="22"/>
      <w:lang w:val="pt-PT" w:eastAsia="en-US"/>
    </w:rPr>
  </w:style>
  <w:style w:type="paragraph" w:styleId="FootnoteText">
    <w:name w:val="footnote text"/>
    <w:basedOn w:val="Normal"/>
    <w:link w:val="FootnoteTextChar"/>
    <w:qFormat/>
    <w:rsid w:val="00CE0958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9D66A8"/>
    <w:rPr>
      <w:sz w:val="16"/>
      <w:szCs w:val="22"/>
      <w:lang w:val="pt-PT" w:eastAsia="en-US"/>
    </w:rPr>
  </w:style>
  <w:style w:type="paragraph" w:styleId="Header">
    <w:name w:val="header"/>
    <w:basedOn w:val="Normal"/>
    <w:link w:val="HeaderChar"/>
    <w:qFormat/>
    <w:rsid w:val="00CE0958"/>
  </w:style>
  <w:style w:type="character" w:customStyle="1" w:styleId="HeaderChar">
    <w:name w:val="Header Char"/>
    <w:basedOn w:val="DefaultParagraphFont"/>
    <w:link w:val="Header"/>
    <w:rsid w:val="009D66A8"/>
    <w:rPr>
      <w:sz w:val="22"/>
      <w:szCs w:val="22"/>
      <w:lang w:val="pt-PT" w:eastAsia="en-US"/>
    </w:rPr>
  </w:style>
  <w:style w:type="paragraph" w:customStyle="1" w:styleId="quotes">
    <w:name w:val="quotes"/>
    <w:basedOn w:val="Normal"/>
    <w:next w:val="Normal"/>
    <w:rsid w:val="00CE0958"/>
    <w:pPr>
      <w:ind w:left="720"/>
    </w:pPr>
    <w:rPr>
      <w:i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styleId="FootnoteReference">
    <w:name w:val="footnote reference"/>
    <w:basedOn w:val="DefaultParagraphFont"/>
    <w:unhideWhenUsed/>
    <w:qFormat/>
    <w:rsid w:val="00CE0958"/>
    <w:rPr>
      <w:sz w:val="24"/>
      <w:vertAlign w:val="superscript"/>
    </w:rPr>
  </w:style>
  <w:style w:type="character" w:styleId="FollowedHyperlink">
    <w:name w:val="FollowedHyperlink"/>
    <w:basedOn w:val="DefaultParagraphFont"/>
    <w:uiPriority w:val="99"/>
    <w:rPr>
      <w:color w:val="800080"/>
      <w:u w:val="single"/>
    </w:rPr>
  </w:style>
  <w:style w:type="paragraph" w:customStyle="1" w:styleId="LOGO">
    <w:name w:val="LOGO"/>
    <w:basedOn w:val="Normal"/>
    <w:pPr>
      <w:jc w:val="center"/>
    </w:pPr>
    <w:rPr>
      <w:rFonts w:ascii="Arial" w:hAnsi="Arial"/>
      <w:b/>
      <w:i/>
      <w:sz w:val="20"/>
    </w:rPr>
  </w:style>
  <w:style w:type="table" w:styleId="TableGrid">
    <w:name w:val="Table Grid"/>
    <w:basedOn w:val="TableNormal"/>
    <w:uiPriority w:val="39"/>
    <w:rsid w:val="00B221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0"/>
    <w:rsid w:val="006D61F8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  <w:jc w:val="both"/>
    </w:pPr>
    <w:rPr>
      <w:color w:val="000000"/>
      <w:sz w:val="22"/>
      <w:szCs w:val="22"/>
      <w:u w:color="000000"/>
      <w:bdr w:val="nil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3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2.png"/><Relationship Id="rId26" Type="http://schemas.openxmlformats.org/officeDocument/2006/relationships/theme" Target="theme/theme1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ntTable" Target="fontTable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customXml" Target="../customXml/item3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footer" Target="footer6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6.xml"/><Relationship Id="rId28" Type="http://schemas.openxmlformats.org/officeDocument/2006/relationships/customXml" Target="../customXml/item2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5.xml"/><Relationship Id="rId27" Type="http://schemas.openxmlformats.org/officeDocument/2006/relationships/customXml" Target="../customXml/item1.xml"/><Relationship Id="rId30" Type="http://schemas.openxmlformats.org/officeDocument/2006/relationships/customXml" Target="../customXml/item4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\\ces-cdr.eu.int\dfs\softwlib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7bdf61-ef81-4463-9c7c-83f2607ad7f5">NVCDSECZW5MX-178431975-6060</_dlc_DocId>
    <_dlc_DocIdUrl xmlns="857bdf61-ef81-4463-9c7c-83f2607ad7f5">
      <Url>http://dm2016/cor/2019/_layouts/15/DocIdRedir.aspx?ID=NVCDSECZW5MX-178431975-6060</Url>
      <Description>NVCDSECZW5MX-178431975-6060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</TermName>
          <TermId xmlns="http://schemas.microsoft.com/office/infopath/2007/PartnerControls">a4cc1d15-fb08-4679-ad46-e4e0cba5fe92</TermId>
        </TermInfo>
      </Terms>
    </DocumentType_0>
    <Procedure xmlns="857bdf61-ef81-4463-9c7c-83f2607ad7f5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</TermName>
          <TermId xmlns="http://schemas.microsoft.com/office/infopath/2007/PartnerControls">cb2d75ef-4a7d-4393-b797-49ed6298a5ea</TermId>
        </TermInfo>
      </Terms>
    </DocumentSource_0>
    <ProductionDate xmlns="857bdf61-ef81-4463-9c7c-83f2607ad7f5">2020-02-19T12:00:00+00:00</ProductionDate>
    <FicheYear xmlns="857bdf61-ef81-4463-9c7c-83f2607ad7f5">2019</FicheYear>
    <DocumentNumber xmlns="9dd7a2b9-76b3-458f-a667-d2984d493257">2727</DocumentNumber>
    <DocumentVersion xmlns="857bdf61-ef81-4463-9c7c-83f2607ad7f5">0</DocumentVersion>
    <DossierNumber xmlns="857bdf61-ef81-4463-9c7c-83f2607ad7f5">42</DossierNumber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857bdf61-ef81-4463-9c7c-83f2607ad7f5" xsi:nil="true"/>
    <TaxCatchAll xmlns="857bdf61-ef81-4463-9c7c-83f2607ad7f5">
      <Value>87</Value>
      <Value>98</Value>
      <Value>47</Value>
      <Value>40</Value>
      <Value>38</Value>
      <Value>37</Value>
      <Value>36</Value>
      <Value>35</Value>
      <Value>33</Value>
      <Value>32</Value>
      <Value>30</Value>
      <Value>29</Value>
      <Value>28</Value>
      <Value>27</Value>
      <Value>25</Value>
      <Value>24</Value>
      <Value>23</Value>
      <Value>22</Value>
      <Value>21</Value>
      <Value>20</Value>
      <Value>18</Value>
      <Value>17</Value>
      <Value>13</Value>
      <Value>10</Value>
      <Value>9</Value>
      <Value>7</Value>
      <Value>6</Value>
      <Value>4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</Terms>
    </DocumentLanguage_0>
    <Rapporteur xmlns="857bdf61-ef81-4463-9c7c-83f2607ad7f5">HLINKA</Rapporteur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DocumentYear xmlns="857bdf61-ef81-4463-9c7c-83f2607ad7f5">2019</DocumentYear>
    <FicheNumber xmlns="857bdf61-ef81-4463-9c7c-83f2607ad7f5">1561</FicheNumber>
    <DocumentPart xmlns="857bdf61-ef81-4463-9c7c-83f2607ad7f5">0</DocumentPart>
    <AdoptionDate xmlns="857bdf61-ef81-4463-9c7c-83f2607ad7f5">2020-02-12T12:00:00+00:00</AdoptionDate>
    <RequestingService xmlns="857bdf61-ef81-4463-9c7c-83f2607ad7f5">Affaires constitutionnelles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GA</TermName>
          <TermId xmlns="http://schemas.microsoft.com/office/infopath/2007/PartnerControls">762d2456-c427-4ecb-b312-af3dad8e258c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9dd7a2b9-76b3-458f-a667-d2984d493257" xsi:nil="true"/>
    <Dossier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CIVEX-VI</TermName>
          <TermId xmlns="http://schemas.microsoft.com/office/infopath/2007/PartnerControls">e92fc6b6-a39d-4ec0-a9fe-54e321eead59</TermId>
        </TermInfo>
      </Terms>
    </DossierName_0>
    <OriginalSender xmlns="857bdf61-ef81-4463-9c7c-83f2607ad7f5">
      <UserInfo>
        <DisplayName/>
        <AccountId xsi:nil="true"/>
        <AccountType/>
      </UserInfo>
    </OriginalSend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0B8126D8DB4058449AFEEA4648410E79" ma:contentTypeVersion="7" ma:contentTypeDescription="Defines the documents for Document Manager V2" ma:contentTypeScope="" ma:versionID="efb3186ae4f8f220474383373b2f3093">
  <xsd:schema xmlns:xsd="http://www.w3.org/2001/XMLSchema" xmlns:xs="http://www.w3.org/2001/XMLSchema" xmlns:p="http://schemas.microsoft.com/office/2006/metadata/properties" xmlns:ns2="857bdf61-ef81-4463-9c7c-83f2607ad7f5" xmlns:ns3="http://schemas.microsoft.com/sharepoint/v3/fields" xmlns:ns4="9dd7a2b9-76b3-458f-a667-d2984d493257" targetNamespace="http://schemas.microsoft.com/office/2006/metadata/properties" ma:root="true" ma:fieldsID="2aec9a206946f4f17cf8aeb461fa7e1f" ns2:_="" ns3:_="" ns4:_="">
    <xsd:import namespace="857bdf61-ef81-4463-9c7c-83f2607ad7f5"/>
    <xsd:import namespace="http://schemas.microsoft.com/sharepoint/v3/fields"/>
    <xsd:import namespace="9dd7a2b9-76b3-458f-a667-d2984d49325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  <xsd:element ref="ns2:OriginalSend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bdf61-ef81-4463-9c7c-83f2607ad7f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hidden="true" ma:list="{57b40324-ba81-467e-b318-8db2e7caf763}" ma:internalName="TaxCatchAll" ma:showField="CatchAllData" ma:web="857bdf61-ef81-4463-9c7c-83f2607ad7f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hidden="true" ma:list="{57b40324-ba81-467e-b318-8db2e7caf763}" ma:internalName="TaxCatchAllLabel" ma:readOnly="true" ma:showField="CatchAllDataLabel" ma:web="857bdf61-ef81-4463-9c7c-83f2607ad7f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  <xsd:element name="OriginalSender" ma:index="47" nillable="true" ma:displayName="Original Sender" ma:internalName="OriginalSen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7a2b9-76b3-458f-a667-d2984d493257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B9F758-D45A-4DF1-B80F-637459CE35F0}"/>
</file>

<file path=customXml/itemProps2.xml><?xml version="1.0" encoding="utf-8"?>
<ds:datastoreItem xmlns:ds="http://schemas.openxmlformats.org/officeDocument/2006/customXml" ds:itemID="{CA3E1182-DD9C-4DAA-BC26-7DAEE654ECF6}"/>
</file>

<file path=customXml/itemProps3.xml><?xml version="1.0" encoding="utf-8"?>
<ds:datastoreItem xmlns:ds="http://schemas.openxmlformats.org/officeDocument/2006/customXml" ds:itemID="{56456F45-E15B-4D18-87BA-2F7D125EF449}"/>
</file>

<file path=customXml/itemProps4.xml><?xml version="1.0" encoding="utf-8"?>
<ds:datastoreItem xmlns:ds="http://schemas.openxmlformats.org/officeDocument/2006/customXml" ds:itemID="{4235D01A-2FE0-47DB-BB81-410CC790A2E4}"/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14</TotalTime>
  <Pages>11</Pages>
  <Words>3813</Words>
  <Characters>21740</Characters>
  <Application>Microsoft Office Word</Application>
  <DocSecurity>0</DocSecurity>
  <Lines>181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Enlargement package 2019</vt:lpstr>
    </vt:vector>
  </TitlesOfParts>
  <Company>CESE-CdR</Company>
  <LinksUpToDate>false</LinksUpToDate>
  <CharactersWithSpaces>25502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Pacote Alargamento 2019</dc:title>
  <dc:subject>Parecer do Comité</dc:subject>
  <dc:creator>Emma Nieddu</dc:creator>
  <cp:keywords>COR-2019-02727-00-00-AC-TRA-EN</cp:keywords>
  <dc:description>Rapporteur: HLINKA - Original language: EN - Date of document: 19/02/2020 - Date of meeting:  - External documents: COM(2019)260 - Administrator:  GONTSAROVA-PARVULESCU Darja</dc:description>
  <cp:lastModifiedBy>Encarnaçao Matias</cp:lastModifiedBy>
  <cp:revision>12</cp:revision>
  <cp:lastPrinted>2019-10-18T07:23:00Z</cp:lastPrinted>
  <dcterms:created xsi:type="dcterms:W3CDTF">2020-02-14T13:08:00Z</dcterms:created>
  <dcterms:modified xsi:type="dcterms:W3CDTF">2020-02-19T13:14:00Z</dcterms:modified>
  <cp:category>CIVEX-VI/42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14/02/2020, 14/02/2020, 18/12/2019, 21/11/2019, 21/11/2019, 18/10/2019, 18/10/2019</vt:lpwstr>
  </property>
  <property fmtid="{D5CDD505-2E9C-101B-9397-08002B2CF9AE}" pid="4" name="Pref_Time">
    <vt:lpwstr>13:51:24, 12:40:12, 09:34:28, 13:09:59, 13:04:01, 11:55:54, 11:48:39</vt:lpwstr>
  </property>
  <property fmtid="{D5CDD505-2E9C-101B-9397-08002B2CF9AE}" pid="5" name="Pref_User">
    <vt:lpwstr>mkop, ssex, hnic, mkop, htoo, amett, htoo</vt:lpwstr>
  </property>
  <property fmtid="{D5CDD505-2E9C-101B-9397-08002B2CF9AE}" pid="6" name="Pref_FileName">
    <vt:lpwstr>COR-2019-02727-00-00-AC-TRA-EN-CRR.docx, COR-2019-02727-00-00-AC-CRR-EN.docx, COR-2019-02727-00-01-PAC-ORI.docx, COR-2019-02727-00-00-PAC-TRA-EN-CRR.docx, COR-2019-02727-00-00-PAC-CRR-EN.docx, COR-2019-02727-00-00-PA-TRA-EN-CRR.docx, COR-2019-02727-00-00-</vt:lpwstr>
  </property>
  <property fmtid="{D5CDD505-2E9C-101B-9397-08002B2CF9AE}" pid="7" name="ContentTypeId">
    <vt:lpwstr>0x010100EA97B91038054C99906057A708A1480A000B8126D8DB4058449AFEEA4648410E79</vt:lpwstr>
  </property>
  <property fmtid="{D5CDD505-2E9C-101B-9397-08002B2CF9AE}" pid="8" name="_dlc_DocIdItemGuid">
    <vt:lpwstr>f45ae201-8755-4bf4-8105-32041c631845</vt:lpwstr>
  </property>
  <property fmtid="{D5CDD505-2E9C-101B-9397-08002B2CF9AE}" pid="9" name="AvailableTranslations">
    <vt:lpwstr>24;#LV|46f7e311-5d9f-4663-b433-18aeccb7ace7;#37;#MT|7df99101-6854-4a26-b53a-b88c0da02c26;#23;#FI|87606a43-d45f-42d6-b8c9-e1a3457db5b7;#21;#RO|feb747a2-64cd-4299-af12-4833ddc30497;#29;#DE|f6b31e5a-26fa-4935-b661-318e46daf27e;#17;#SV|c2ed69e7-a339-43d7-8f22-d93680a92aa0;#36;#PT|50ccc04a-eadd-42ae-a0cb-acaf45f812ba;#30;#HR|2f555653-ed1a-4fe6-8362-9082d95989e5;#13;#ES|e7a6b05b-ae16-40c8-add9-68b64b03aeba;#25;#DA|5d49c027-8956-412b-aa16-e85a0f96ad0e;#32;#LT|a7ff5ce7-6123-4f68-865a-a57c31810414;#7;#FR|d2afafd3-4c81-4f60-8f52-ee33f2f54ff3;#20;#EL|6d4f4d51-af9b-4650-94b4-4276bee85c91;#18;#PL|1e03da61-4678-4e07-b136-b5024ca9197b;#38;#ET|ff6c3f4c-b02c-4c3c-ab07-2c37995a7a0a;#33;#SK|46d9fce0-ef79-4f71-b89b-cd6aa82426b8;#22;#NL|55c6556c-b4f4-441d-9acf-c498d4f838bd;#40;#HU|6b229040-c589-4408-b4c1-4285663d20a8;#9;#EN|f2175f21-25d7-44a3-96da-d6a61b075e1b;#27;#SL|98a412ae-eb01-49e9-ae3d-585a81724cfc;#35;#BG|1a1b3951-7821-4e6a-85f5-5673fc08bd2c;#28;#CS|72f9705b-0217-4fd3-bea2-cbc7ed80e26e;#47;#GA|762d2456-c427-4ecb-b312-af3dad8e258c;#4;#IT|0774613c-01ed-4e5d-a25d-11d2388de825</vt:lpwstr>
  </property>
  <property fmtid="{D5CDD505-2E9C-101B-9397-08002B2CF9AE}" pid="10" name="DocumentType_0">
    <vt:lpwstr>AC|a4cc1d15-fb08-4679-ad46-e4e0cba5fe92</vt:lpwstr>
  </property>
  <property fmtid="{D5CDD505-2E9C-101B-9397-08002B2CF9AE}" pid="11" name="DossierName_0">
    <vt:lpwstr>CIVEX-VI|e92fc6b6-a39d-4ec0-a9fe-54e321eead59</vt:lpwstr>
  </property>
  <property fmtid="{D5CDD505-2E9C-101B-9397-08002B2CF9AE}" pid="12" name="DocumentSource_0">
    <vt:lpwstr>CoR|cb2d75ef-4a7d-4393-b797-49ed6298a5ea</vt:lpwstr>
  </property>
  <property fmtid="{D5CDD505-2E9C-101B-9397-08002B2CF9AE}" pid="13" name="DocumentNumber">
    <vt:i4>2727</vt:i4>
  </property>
  <property fmtid="{D5CDD505-2E9C-101B-9397-08002B2CF9AE}" pid="14" name="FicheYear">
    <vt:i4>2019</vt:i4>
  </property>
  <property fmtid="{D5CDD505-2E9C-101B-9397-08002B2CF9AE}" pid="15" name="DocumentVersion">
    <vt:i4>0</vt:i4>
  </property>
  <property fmtid="{D5CDD505-2E9C-101B-9397-08002B2CF9AE}" pid="16" name="DossierNumber">
    <vt:i4>42</vt:i4>
  </property>
  <property fmtid="{D5CDD505-2E9C-101B-9397-08002B2CF9AE}" pid="17" name="DocumentStatus">
    <vt:lpwstr>2;#TRA|150d2a88-1431-44e6-a8ca-0bb753ab8672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>87;#CIVEX-VI|e92fc6b6-a39d-4ec0-a9fe-54e321eead59</vt:lpwstr>
  </property>
  <property fmtid="{D5CDD505-2E9C-101B-9397-08002B2CF9AE}" pid="20" name="DocumentSource">
    <vt:lpwstr>1;#CoR|cb2d75ef-4a7d-4393-b797-49ed6298a5ea</vt:lpwstr>
  </property>
  <property fmtid="{D5CDD505-2E9C-101B-9397-08002B2CF9AE}" pid="21" name="AdoptionDate">
    <vt:filetime>2020-02-12T12:00:00Z</vt:filetime>
  </property>
  <property fmtid="{D5CDD505-2E9C-101B-9397-08002B2CF9AE}" pid="22" name="DocumentType">
    <vt:lpwstr>98;#AC|a4cc1d15-fb08-4679-ad46-e4e0cba5fe92</vt:lpwstr>
  </property>
  <property fmtid="{D5CDD505-2E9C-101B-9397-08002B2CF9AE}" pid="23" name="RequestingService">
    <vt:lpwstr>Affaires constitutionnelles</vt:lpwstr>
  </property>
  <property fmtid="{D5CDD505-2E9C-101B-9397-08002B2CF9AE}" pid="24" name="Confidentiality">
    <vt:lpwstr>10;#Unrestricted|826e22d7-d029-4ec0-a450-0c28ff673572</vt:lpwstr>
  </property>
  <property fmtid="{D5CDD505-2E9C-101B-9397-08002B2CF9AE}" pid="25" name="MeetingName_0">
    <vt:lpwstr/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9;#EN|f2175f21-25d7-44a3-96da-d6a61b075e1b</vt:lpwstr>
  </property>
  <property fmtid="{D5CDD505-2E9C-101B-9397-08002B2CF9AE}" pid="28" name="MeetingName">
    <vt:lpwstr/>
  </property>
  <property fmtid="{D5CDD505-2E9C-101B-9397-08002B2CF9AE}" pid="30" name="AvailableTranslations_0">
    <vt:lpwstr>MT|7df99101-6854-4a26-b53a-b88c0da02c26;FI|87606a43-d45f-42d6-b8c9-e1a3457db5b7;EL|6d4f4d51-af9b-4650-94b4-4276bee85c91;ET|ff6c3f4c-b02c-4c3c-ab07-2c37995a7a0a;NL|55c6556c-b4f4-441d-9acf-c498d4f838bd;HU|6b229040-c589-4408-b4c1-4285663d20a8;EN|f2175f21-25d7-44a3-96da-d6a61b075e1b;BG|1a1b3951-7821-4e6a-85f5-5673fc08bd2c;CS|72f9705b-0217-4fd3-bea2-cbc7ed80e26e</vt:lpwstr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35;#BG|1a1b3951-7821-4e6a-85f5-5673fc08bd2c;#1;#CoR|cb2d75ef-4a7d-4393-b797-49ed6298a5ea;#28;#CS|72f9705b-0217-4fd3-bea2-cbc7ed80e26e;#98;#AC|a4cc1d15-fb08-4679-ad46-e4e0cba5fe92;#23;#FI|87606a43-d45f-42d6-b8c9-e1a3457db5b7;#22;#NL|55c6556c-b4f4-441d-9acf-c498d4f838bd;#20;#EL|6d4f4d51-af9b-4650-94b4-4276bee85c91;#87;#CIVEX-VI|e92fc6b6-a39d-4ec0-a9fe-54e321eead59;#10;#Unrestricted|826e22d7-d029-4ec0-a450-0c28ff673572;#9;#EN|f2175f21-25d7-44a3-96da-d6a61b075e1b;#6;#Final|ea5e6674-7b27-4bac-b091-73adbb394efe;#40;#HU|6b229040-c589-4408-b4c1-4285663d20a8;#2;#TRA|150d2a88-1431-44e6-a8ca-0bb753ab8672;#38;#ET|ff6c3f4c-b02c-4c3c-ab07-2c37995a7a0a;#37;#MT|7df99101-6854-4a26-b53a-b88c0da02c26</vt:lpwstr>
  </property>
  <property fmtid="{D5CDD505-2E9C-101B-9397-08002B2CF9AE}" pid="34" name="Rapporteur">
    <vt:lpwstr>HLINKA</vt:lpwstr>
  </property>
  <property fmtid="{D5CDD505-2E9C-101B-9397-08002B2CF9AE}" pid="35" name="VersionStatus_0">
    <vt:lpwstr>Final|ea5e6674-7b27-4bac-b091-73adbb394efe</vt:lpwstr>
  </property>
  <property fmtid="{D5CDD505-2E9C-101B-9397-08002B2CF9AE}" pid="36" name="VersionStatus">
    <vt:lpwstr>6;#Final|ea5e6674-7b27-4bac-b091-73adbb394efe</vt:lpwstr>
  </property>
  <property fmtid="{D5CDD505-2E9C-101B-9397-08002B2CF9AE}" pid="37" name="DocumentYear">
    <vt:i4>2019</vt:i4>
  </property>
  <property fmtid="{D5CDD505-2E9C-101B-9397-08002B2CF9AE}" pid="38" name="FicheNumber">
    <vt:i4>1561</vt:i4>
  </property>
  <property fmtid="{D5CDD505-2E9C-101B-9397-08002B2CF9AE}" pid="39" name="DocumentLanguage">
    <vt:lpwstr>36;#PT|50ccc04a-eadd-42ae-a0cb-acaf45f812ba</vt:lpwstr>
  </property>
</Properties>
</file>