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HU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HU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97748D">
              <w:rPr>
                <w:noProof/>
                <w:lang w:eastAsia="hu-HU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H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827F78" w:rsidRDefault="00651A76" w:rsidP="000424D2">
      <w:pPr>
        <w:pStyle w:val="MainStyleRight"/>
        <w:widowControl/>
      </w:pPr>
      <w:r>
        <w:t>Brüsszel, 2020. november 20.</w:t>
      </w:r>
    </w:p>
    <w:p w:rsidR="004A5F7F" w:rsidRPr="00827F78" w:rsidRDefault="004A5F7F" w:rsidP="000424D2">
      <w:pPr>
        <w:pStyle w:val="MainStyleRight"/>
        <w:widowControl/>
      </w:pPr>
    </w:p>
    <w:p w:rsidR="00E07A47" w:rsidRPr="00827F78" w:rsidRDefault="00E07A47" w:rsidP="000424D2">
      <w:pPr>
        <w:pStyle w:val="MainStyleRight"/>
        <w:widowControl/>
      </w:pPr>
    </w:p>
    <w:p w:rsidR="004A5F7F" w:rsidRPr="00827F78" w:rsidRDefault="00651A76" w:rsidP="000424D2">
      <w:pPr>
        <w:pStyle w:val="TitleStyle"/>
        <w:widowControl/>
      </w:pPr>
      <w:r>
        <w:t>MEGHÍVÓ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4A5F7F" w:rsidRPr="00827F78" w:rsidRDefault="00651A76" w:rsidP="000424D2">
      <w:pPr>
        <w:pStyle w:val="TitleStyle"/>
        <w:widowControl/>
      </w:pPr>
      <w:r>
        <w:t>7. mandátumidőszak – SEDEC szakbizottság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>
        <w:rPr>
          <w:b/>
        </w:rPr>
        <w:t>A jelenlegi Covid19-helyzet fényében és az RB elnökének nemrégiben kiadott határozatával összhangban az ülés teljes egészében távülés lesz (részvétel a helyszínen nem lehetséges).</w:t>
      </w: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 szakbizottsági ülésen nem lehet szavazni a módosító indítványokról és a véleményekről. Ehelyett távszavazásra kerül sor az ülést közvetlenül követő napokban.</w:t>
      </w: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 tagok GYAKORLATI ÚTMUTATÓT kapnak arról, hogy miként tudnak csatlakozni a távülésplatformhoz. Az üléshez szükséges dokumentumok kizárólag a tagok portálján érhetők el.</w:t>
      </w:r>
    </w:p>
    <w:p w:rsidR="009C2E1C" w:rsidRPr="00FB6F14" w:rsidRDefault="009C2E1C">
      <w:pPr>
        <w:jc w:val="center"/>
        <w:rPr>
          <w:lang w:val="en-GB"/>
        </w:rPr>
      </w:pPr>
    </w:p>
    <w:p w:rsidR="004A5F7F" w:rsidRPr="00827F78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6432"/>
      </w:tblGrid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Ülés száma: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5.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Elnök: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Anne KARJALAINEN (FI/PES)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Helyszín: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RB-székház, rue Belliard 101, 1040 Brüsszel (JDE 52-es terem)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Időpont: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447E1">
            <w:r>
              <w:t>2020. 11. 25., 11:00–18:30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 módosító indítványok benyújtásának határideje: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2020. 11. 12. (brüsszeli idő szerint) 15:00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 részvételi jogok átruházásának határideje: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2020. 11. 24. (brüsszeli idő szerint) éjfél</w:t>
            </w:r>
          </w:p>
        </w:tc>
      </w:tr>
    </w:tbl>
    <w:p w:rsidR="004A5F7F" w:rsidRPr="00827F78" w:rsidRDefault="004A5F7F" w:rsidP="00FB6F14">
      <w:pPr>
        <w:jc w:val="left"/>
      </w:pPr>
    </w:p>
    <w:p w:rsidR="004A5F7F" w:rsidRPr="00827F78" w:rsidRDefault="004A5F7F" w:rsidP="000424D2">
      <w:pPr>
        <w:jc w:val="left"/>
        <w:rPr>
          <w:b/>
          <w:bCs/>
        </w:rPr>
      </w:pPr>
    </w:p>
    <w:p w:rsidR="004A5F7F" w:rsidRPr="00827F78" w:rsidRDefault="00651A76" w:rsidP="00FB6F14">
      <w:pPr>
        <w:keepNext/>
        <w:jc w:val="left"/>
      </w:pPr>
      <w:r>
        <w:t>Tervezett napirend:</w:t>
      </w:r>
    </w:p>
    <w:p w:rsidR="000424D2" w:rsidRPr="00827F78" w:rsidRDefault="000424D2" w:rsidP="00FB6F14">
      <w:pPr>
        <w:keepNext/>
        <w:jc w:val="left"/>
        <w:rPr>
          <w:b/>
          <w:bCs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A napirendtervezet elfogadása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Default="00651A76" w:rsidP="00FB6F14">
      <w:pPr>
        <w:pStyle w:val="Heading1"/>
        <w:rPr>
          <w:b/>
        </w:rPr>
      </w:pPr>
      <w:r>
        <w:rPr>
          <w:b/>
        </w:rPr>
        <w:t>A 4. ülés jegyzőkönyvének jóváhagyása</w:t>
      </w:r>
    </w:p>
    <w:p w:rsidR="00967A63" w:rsidRPr="00651A66" w:rsidRDefault="00967A63" w:rsidP="00207F2A">
      <w:pPr>
        <w:ind w:left="567"/>
      </w:pPr>
      <w:r>
        <w:t>COR-2020-04471-00-00-TCD-TRA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B620C6" w:rsidRDefault="00B620C6" w:rsidP="00FB6F14">
      <w:pPr>
        <w:pStyle w:val="Heading1"/>
        <w:rPr>
          <w:b/>
        </w:rPr>
      </w:pPr>
      <w:r>
        <w:rPr>
          <w:b/>
        </w:rPr>
        <w:t>Elnöki bejelentések</w:t>
      </w:r>
    </w:p>
    <w:p w:rsidR="00B620C6" w:rsidRPr="000F0406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FB6F14" w:rsidRDefault="003B05E8" w:rsidP="00FB6F14">
      <w:pPr>
        <w:pStyle w:val="Heading1"/>
        <w:rPr>
          <w:b/>
        </w:rPr>
      </w:pPr>
      <w:r>
        <w:rPr>
          <w:b/>
        </w:rPr>
        <w:lastRenderedPageBreak/>
        <w:t>Vita Mariya Gabriel innovációért, kutatásért, kultúráért, oktatásért és ifjúságért felelős biztos és Apostolos Tzitzikostas, a Régiók Európai Bizottsága elnöke részvételével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A jövőbeli munkák megszervezése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ind w:left="567"/>
      </w:pPr>
      <w:r>
        <w:t>Határozathozatalra: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Felkérésre készülő vélemények (41. cikk a) pont) – Előadók kijelölése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Saját kezdeményezésű vélemények (41. cikk b) pont (i) bekezdés)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>
        <w:t>Határozat véleményalkotásról</w:t>
      </w:r>
    </w:p>
    <w:p w:rsidR="004A5F7F" w:rsidRPr="00FB6F14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>
        <w:t>Előadók kijelölése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Saját kezdeményezésű vélemények (41. cikk b) pont (ii) bekezdés)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Határozat kérelem benyújtásáról az Elnökséghez véleményalkotás engedélyezésére</w:t>
      </w: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Előadók ideiglenes kijelölése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Véleményalkotás elutasítása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A folyamatban lévő munkák programja és határozat az elnök által kiosztott munkákról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995F3E" w:rsidRDefault="00A84128" w:rsidP="00DC60AE">
      <w:pPr>
        <w:pStyle w:val="Heading2"/>
        <w:ind w:left="567" w:hanging="567"/>
      </w:pPr>
      <w:r>
        <w:t>A Régiók Európai Bizottsága, a Kutatási és Innovációs Főigazgatóság, a Közös Kutatóközpont és az Oktatásügyi, Ifjúságpolitikai, Sportügyi és Kulturális Főigazgatóság közös cselekvési tervének elfogadása.</w:t>
      </w:r>
    </w:p>
    <w:p w:rsidR="00A84128" w:rsidRPr="00DC60AE" w:rsidRDefault="00A84128" w:rsidP="00C33F0D">
      <w:pPr>
        <w:pStyle w:val="Heading2"/>
        <w:numPr>
          <w:ilvl w:val="0"/>
          <w:numId w:val="0"/>
        </w:numPr>
        <w:ind w:left="567"/>
      </w:pPr>
    </w:p>
    <w:p w:rsidR="007D2DBA" w:rsidRDefault="007D2DBA" w:rsidP="00DC60AE">
      <w:pPr>
        <w:pStyle w:val="Heading2"/>
        <w:ind w:left="567" w:hanging="567"/>
      </w:pPr>
      <w:r>
        <w:t>A tudáscsereplatform 2020/2021. évi munkatervének elfogadása</w:t>
      </w:r>
    </w:p>
    <w:p w:rsidR="00A84128" w:rsidRDefault="00A84128" w:rsidP="00DC60AE">
      <w:pPr>
        <w:rPr>
          <w:lang w:val="en-GB"/>
        </w:rPr>
      </w:pPr>
    </w:p>
    <w:p w:rsidR="00A84128" w:rsidRPr="00A84128" w:rsidRDefault="00A84128" w:rsidP="00DC60AE">
      <w:pPr>
        <w:pStyle w:val="Heading2"/>
        <w:ind w:left="567" w:hanging="567"/>
      </w:pPr>
      <w:r>
        <w:t>A Régiók Európai Bizottsága és a Foglalkoztatás, a Szociális Ügyek és a Társadalmi Befogadás Főigazgatósága közötti megerősített együttműködés elfogadása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207F2A">
      <w:pPr>
        <w:ind w:left="567"/>
      </w:pPr>
      <w:r>
        <w:t>Megvitatásra: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Default="00651A76" w:rsidP="00FE5581">
      <w:pPr>
        <w:pStyle w:val="Heading2"/>
        <w:ind w:left="567" w:hanging="567"/>
      </w:pPr>
      <w:r>
        <w:t>Vélemények nyomon követése</w:t>
      </w:r>
    </w:p>
    <w:p w:rsidR="00391076" w:rsidRDefault="00391076" w:rsidP="000F0406">
      <w:pPr>
        <w:ind w:left="567"/>
        <w:rPr>
          <w:lang w:val="en-GB"/>
        </w:rPr>
      </w:pPr>
    </w:p>
    <w:p w:rsidR="00391076" w:rsidRPr="000F0406" w:rsidRDefault="00391076" w:rsidP="000F0406">
      <w:pPr>
        <w:pStyle w:val="Heading1"/>
        <w:rPr>
          <w:b/>
        </w:rPr>
      </w:pPr>
      <w:r>
        <w:rPr>
          <w:b/>
        </w:rPr>
        <w:t>Eszmecsere Joost Korte főigazgatóval, a Foglalkoztatás, a Szociális Ügyek és a Társadalmi Befogadás Főigazgatósága (DG EMPL) vezetőjével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Vélemények – első vita és elfogadás</w:t>
      </w:r>
    </w:p>
    <w:p w:rsidR="000424D2" w:rsidRPr="00FB6F14" w:rsidRDefault="000424D2" w:rsidP="00FB6F14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Cím: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A fenntartható versenyképességre, a társadalmi méltányosságra és a rezilienciára vonatkozó európai készségfejlesztési program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Előadó: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BORBOLY Csaba (RO/EPP)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Európai bizottsági dokumentum: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 xml:space="preserve">A Bizottság közleménye az Európai Parlamentnek, a Tanácsnak, az Európai Gazdasági és Szociális Bizottságnak és a </w:t>
            </w:r>
            <w:r>
              <w:lastRenderedPageBreak/>
              <w:t>Régiók Bizottságának: A fenntartható versenyképességre, a társadalmi méltányosságra és a rezilienciára vonatkozó európai készségfejlesztési program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274 - final</w:t>
            </w:r>
          </w:p>
          <w:p w:rsidR="004A5F7F" w:rsidRPr="00FB6F14" w:rsidRDefault="004A5F7F" w:rsidP="00FB6F14">
            <w:pPr>
              <w:spacing w:line="240" w:lineRule="auto"/>
              <w:rPr>
                <w:lang w:val="en-GB"/>
              </w:rPr>
            </w:pPr>
          </w:p>
          <w:p w:rsidR="004A5F7F" w:rsidRPr="00FB6F14" w:rsidRDefault="00651A76" w:rsidP="00FB6F14">
            <w:pPr>
              <w:spacing w:line="276" w:lineRule="auto"/>
            </w:pPr>
            <w:r>
              <w:t>Javaslat tanácsi ajánlásra a fenntartható versenyképességet, társadalmi méltányosságot és rezilienciát célzó szakképzésről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275 - final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Dokumentum: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COR-2020-03878-00-00-PA-TRA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 vélemény típusa: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saját kezdeményezésű vélemény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Ügyirat: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SEDEC-VII/006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Felszólal: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0F0406">
            <w:pPr>
              <w:spacing w:line="276" w:lineRule="auto"/>
              <w:jc w:val="left"/>
            </w:pPr>
            <w:r>
              <w:t>Szakbizottsági elfogadás (tervezett) időpontja: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2020. 11. 25.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Plenáris ülésen történő elfogadás tervezett időpontja: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2021. 02. 3–4. (megerősítendő)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35"/>
        <w:gridCol w:w="5728"/>
      </w:tblGrid>
      <w:tr w:rsidR="00651A66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Cím:</w:t>
            </w:r>
          </w:p>
        </w:tc>
        <w:tc>
          <w:tcPr>
            <w:tcW w:w="5728" w:type="dxa"/>
            <w:shd w:val="clear" w:color="auto" w:fill="FFFFFF"/>
          </w:tcPr>
          <w:p w:rsidR="004A5F7F" w:rsidRPr="000F0406" w:rsidRDefault="00651A76" w:rsidP="00FB6F14">
            <w:pPr>
              <w:spacing w:line="276" w:lineRule="auto"/>
              <w:rPr>
                <w:b/>
              </w:rPr>
            </w:pPr>
            <w:r>
              <w:rPr>
                <w:b/>
              </w:rPr>
              <w:t>Ifjúsági foglalkoztatási támogatás: Út a munka világába a következő generációk számára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Előadó: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Romy KARIER (LU/EPP)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Európai bizottsági dokumentum: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A Bizottság közleménye az Európai Parlamentnek, a Tanácsnak, az Európai Gazdasági és Szociális Bizottságnak és a Régiók Bizottságának – Ifjúsági foglalkoztatási támogatás: Út a munka világába a következő generációk számára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276 - final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Javaslat tanácsi ajánlásra: Út a munka világába – Az ifjúsági garancia megerősítéséről és az ifjúsági garancia létrehozásáról szóló, 2013. április 22-i tanácsi ajánlás hatályon kívül helyezéséről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277 -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Dokumentum: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>
            <w:pPr>
              <w:spacing w:line="276" w:lineRule="auto"/>
            </w:pPr>
            <w:r>
              <w:t>COR-2020-03454-00-01-PA-TRA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 vélemény típusa: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saját kezdeményezésű vélemény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Ügyirat: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Felszólal: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Szakbizottsági elfogadás (tervezett) időpontja: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2020. 11. 25.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Plenáris ülésen történő elfogadás tervezett időpontja: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2021. 02. 3–4. (megerősítendő)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Cím: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A kulturális és kreatív ágazatok újraindítása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Előadó: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Giuseppe VARACALLI (IT/Renew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Európai bizottsági 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‒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 xml:space="preserve">Dokumentum: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FB6F14">
            <w:pPr>
              <w:spacing w:line="276" w:lineRule="auto"/>
            </w:pPr>
            <w:r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 vélemény típusa: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saját kezdeményezésű vélemény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Ügyirat: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Felszólal: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Szakbizottsági elfogadás (tervezett)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2020. 11. 25.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Plenáris ülésen történő elfogadás tervezett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2021. 02. 3–4. (megerősítendő)</w:t>
            </w:r>
          </w:p>
        </w:tc>
      </w:tr>
    </w:tbl>
    <w:p w:rsidR="007D2DBA" w:rsidRPr="00FB6F14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Cím: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Új EKT a kutatás és az innováció szolgálatában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Előadó: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Christophe CLERGEAU (FR/PES)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Európai bizottsági 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A Bizottság közleménye az Európai Parlamentnek, a Tanácsnak, az Európai Gazdasági és Szociális Bizottságnak és a Régiók Bizottságának: Új EKT a kutatás és az innováció szolgálatában 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628 -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 vélemény típusa: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saját kezdeményezésű vélemény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Ügyirat: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Felszólal: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Szakbizottsági elfogadás (tervezett)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2020. 11. 25.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FB6F14">
            <w:pPr>
              <w:spacing w:line="276" w:lineRule="auto"/>
            </w:pPr>
            <w:r>
              <w:t>Plenáris ülésen történő elfogadás tervezett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2021. 02. 3–4. (megerősítendő)</w:t>
            </w:r>
          </w:p>
        </w:tc>
      </w:tr>
    </w:tbl>
    <w:p w:rsidR="00C443A3" w:rsidRPr="00FB6F14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FB6F14" w:rsidRDefault="00651A76" w:rsidP="00FB6F14">
      <w:pPr>
        <w:pStyle w:val="Heading1"/>
      </w:pPr>
      <w:r>
        <w:rPr>
          <w:b/>
        </w:rPr>
        <w:t>Vélemények – eszmecsere</w:t>
      </w:r>
    </w:p>
    <w:p w:rsidR="00E07A47" w:rsidRPr="00FB6F14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Cím: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FB6F14">
            <w:pPr>
              <w:spacing w:line="276" w:lineRule="auto"/>
            </w:pPr>
            <w:r>
              <w:rPr>
                <w:b/>
                <w:bCs/>
              </w:rPr>
              <w:t>Egyenlőségközpontú Unió: az EU rasszizmus elleni cselekvési terve a 2020–2025-ös időszakra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Előadó: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Yoomi RENSTRÖM (SE/PES)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Európai bizottsági 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A Bizottság közleménye az Európai Parlamentnek, a Tanácsnak, az Európai Gazdasági és Szociális Bizottságnak és a Régiók Bizottságának – Egyenlőségközpontú Unió: az EU rasszizmus elleni cselekvési terve a 2020–2025-ös időszakra</w:t>
            </w:r>
          </w:p>
          <w:p w:rsidR="00272F64" w:rsidRPr="00FB6F14" w:rsidRDefault="00651A76" w:rsidP="00FB6F14">
            <w:pPr>
              <w:spacing w:line="276" w:lineRule="auto"/>
            </w:pPr>
            <w:r>
              <w:t>COM (2020) 565 –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A vélemény típusa: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saját kezdeményezésű vélemény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Ügyirat: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SEDEC-VII/009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Felszólal: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Szakbizottsági elfogadás (tervezett)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Plenáris ülésen történő elfogadás tervezett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827F78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Cím: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>
            <w:pPr>
              <w:spacing w:line="276" w:lineRule="auto"/>
            </w:pPr>
            <w:r>
              <w:rPr>
                <w:b/>
                <w:bCs/>
              </w:rPr>
              <w:t>Digitális oktatási cselekvési terv 2021–2027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Előadó: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Gillian COUGHLAN (IE/Renew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Európai bizottsági 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A Bizottság közleménye az Európai Parlamentnek, a Tanácsnak, az Európai Gazdasági és Szociális Bizottságnak és a Régiók Bizottságának – Digitális oktatási cselekvési terv 2021–</w:t>
            </w:r>
            <w:r>
              <w:lastRenderedPageBreak/>
              <w:t xml:space="preserve">2027 Az oktatás és a képzés átalakítása a digitális kornak megfelelően </w:t>
            </w:r>
          </w:p>
          <w:p w:rsidR="007D2DBA" w:rsidRPr="00FB6F14" w:rsidRDefault="00272F64" w:rsidP="00FB6F14">
            <w:pPr>
              <w:spacing w:line="276" w:lineRule="auto"/>
            </w:pPr>
            <w:r>
              <w:t>COM(2020) 624 -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>
            <w:pPr>
              <w:spacing w:line="276" w:lineRule="auto"/>
              <w:rPr>
                <w:sz w:val="24"/>
                <w:szCs w:val="24"/>
              </w:rPr>
            </w:pPr>
            <w:r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 vélemény típusa: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saját kezdeményezésű vélemény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Ügyirat: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SEDEC-VII/011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Felszólal: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Szakbizottsági elfogadás (tervezett)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Plenáris ülésen történő elfogadás tervezett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Cím: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Az európai oktatási térség megvalósítása 2025-ig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Előadó: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Emil BOC (RO/EPP)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Európai bizottsági 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A Bizottság közleménye az Európai Parlamentnek, a Tanácsnak, az Európai Gazdasági és Szociális Bizottságnak és a Régiók Bizottságának az európai oktatási térség 2025-ig történő megvalósításáról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 (2020) 625 -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Dokumentum: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A vélemény típusa: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saját kezdeményezésű vélemény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Ügyirat: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t>SEDEC-VII/012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Felszólal: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jc w:val="left"/>
            </w:pPr>
            <w:r>
              <w:t>Szakbizottsági elfogadás (tervezett) időpontja: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p w:rsidR="004A5F7F" w:rsidRPr="00FB6F14" w:rsidRDefault="00A84128" w:rsidP="00FB6F14">
      <w:pPr>
        <w:pStyle w:val="Heading1"/>
        <w:rPr>
          <w:b/>
        </w:rPr>
      </w:pPr>
      <w:r>
        <w:rPr>
          <w:b/>
        </w:rPr>
        <w:t>Első eszmecsere a SEDEC 2021. évi munkaprogramjáról</w:t>
      </w:r>
    </w:p>
    <w:p w:rsidR="004A5F7F" w:rsidRPr="00827F78" w:rsidRDefault="004A5F7F" w:rsidP="00FB6F14">
      <w:pPr>
        <w:jc w:val="left"/>
        <w:rPr>
          <w:b/>
          <w:bCs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Az RB-s gyakornokok YFactor csapata ismerteti a „Mind the Digital Gap” elnevezésű, a digitális szakadék áthidalásával foglalkozó projektet</w:t>
      </w:r>
    </w:p>
    <w:p w:rsidR="00A84128" w:rsidRPr="00DC60AE" w:rsidRDefault="00A84128" w:rsidP="00DC60AE">
      <w:pPr>
        <w:rPr>
          <w:lang w:val="en-GB"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Vita</w:t>
      </w:r>
    </w:p>
    <w:p w:rsidR="00A84128" w:rsidRPr="00DC60AE" w:rsidRDefault="00A84128" w:rsidP="00DC60AE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Egyéb kérdések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A következő ülés időpontjának megerősítése: 2021. február 17.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207F2A">
      <w:pPr>
        <w:ind w:left="567"/>
        <w:rPr>
          <w:b/>
          <w:bCs/>
        </w:rPr>
      </w:pPr>
      <w:r>
        <w:rPr>
          <w:b/>
          <w:bCs/>
        </w:rPr>
        <w:t>Az ülés vége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919"/>
        <w:gridCol w:w="5513"/>
      </w:tblGrid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E16183">
            <w:pPr>
              <w:keepNext/>
              <w:keepLines/>
            </w:pPr>
            <w:r>
              <w:rPr>
                <w:b/>
                <w:bCs/>
              </w:rPr>
              <w:lastRenderedPageBreak/>
              <w:t>Munkanyelvek: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E16183">
            <w:pPr>
              <w:keepNext/>
              <w:keepLines/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E16183">
            <w:pPr>
              <w:keepNext/>
              <w:keepLines/>
            </w:pPr>
            <w:r>
              <w:t>BG/ES/CS/DA/DE/ET/EL/EN/FR/HR/IT/LV/LT/HU/MT/NL/PL/PT/RO/SK/SL/FI/SV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E16183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Tolmácsolás:</w:t>
            </w:r>
          </w:p>
          <w:p w:rsidR="004A5F7F" w:rsidRPr="00FB6F14" w:rsidRDefault="00651A76" w:rsidP="00E16183">
            <w:pPr>
              <w:keepNext/>
              <w:keepLines/>
            </w:pPr>
            <w:r>
              <w:t>(a résztvevők anyanyelvükön szólalhatnak fel)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E16183">
            <w:pPr>
              <w:keepNext/>
              <w:keepLines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E16183">
            <w:pPr>
              <w:keepNext/>
              <w:keepLines/>
            </w:pPr>
            <w:r>
              <w:t>ES/DE/EN/FR/IT/HU/PL/RO/SV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E16183">
            <w:pPr>
              <w:keepNext/>
              <w:keepLines/>
            </w:pPr>
            <w:r>
              <w:t>(a résztvevők ezeken a nyelveken hallgathatják a felszólalásokat)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E16183">
            <w:pPr>
              <w:keepNext/>
              <w:keepLines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E16183">
            <w:pPr>
              <w:keepNext/>
              <w:keepLines/>
            </w:pPr>
            <w:r>
              <w:t>ES/DE/EN/FR/IT/HU/PL/RO/SV</w:t>
            </w:r>
          </w:p>
        </w:tc>
      </w:tr>
    </w:tbl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0F0406" w:rsidRDefault="00651A76" w:rsidP="000F0406">
      <w:pPr>
        <w:rPr>
          <w:b/>
          <w:bCs/>
        </w:rPr>
      </w:pPr>
      <w:r>
        <w:t xml:space="preserve">A módosító indítványokat az erre a célra szolgáló online eszközön keresztül kell benyújtani (elérhető a tagok portáljáról: </w:t>
      </w:r>
      <w:hyperlink r:id="rId12" w:history="1">
        <w:r>
          <w:rPr>
            <w:rStyle w:val="Hyperlink"/>
          </w:rPr>
          <w:t>https://memportal.cor.europa.eu/</w:t>
        </w:r>
      </w:hyperlink>
      <w:r>
        <w:t>).</w:t>
      </w:r>
    </w:p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939"/>
      </w:tblGrid>
      <w:tr w:rsidR="00C82A53" w:rsidTr="00DA4C7E">
        <w:trPr>
          <w:cantSplit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827F78" w:rsidRDefault="00651A76" w:rsidP="00FB6F14">
            <w:pPr>
              <w:jc w:val="left"/>
              <w:rPr>
                <w:b/>
                <w:bCs/>
              </w:rPr>
            </w:pPr>
            <w:r>
              <w:t>Megjegyzés: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0F0406" w:rsidRDefault="00651A76" w:rsidP="00FB6F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Utazási költségtérítésben és napidíjban csak a szakbizottság tagjai, illetve az ülésen való részvételre kijelölt póttagok részesülnek.</w:t>
            </w:r>
          </w:p>
          <w:p w:rsidR="004A5F7F" w:rsidRPr="00827F78" w:rsidRDefault="004A5F7F" w:rsidP="00FB6F14">
            <w:pPr>
              <w:rPr>
                <w:color w:val="000000"/>
              </w:rPr>
            </w:pPr>
          </w:p>
          <w:p w:rsidR="004A5F7F" w:rsidRPr="00827F78" w:rsidRDefault="00651A76" w:rsidP="00FB6F1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Kérjük a tagokat, hogy az online rendszeren keresztül erősítsék meg az ülésen való részvételüket vagy értesítsék a titkárságot, ha az eljárási szabályzat 5. cikkének (2) bekezdése értelmében egy másik tagra vagy póttagra kívánják átruházni részvételi jogukat. Az online rendszer a tagok portálján keresztül érhető el az RB honlapjáról.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0F0406" w:rsidRDefault="00651A76" w:rsidP="00FB6F14">
            <w:pPr>
              <w:rPr>
                <w:b/>
              </w:rPr>
            </w:pPr>
            <w:r>
              <w:rPr>
                <w:b/>
              </w:rPr>
              <w:t>Amennyiben segítségre lenne szüksége, informatikai szolgálatunk (Helpdesk – Tel.: +32 2 546 9697; e-mail:</w:t>
            </w:r>
            <w:r>
              <w:t xml:space="preserve"> </w:t>
            </w:r>
            <w:hyperlink r:id="rId13" w:history="1">
              <w:r>
                <w:rPr>
                  <w:rStyle w:val="Hyperlink"/>
                  <w:b/>
                </w:rPr>
                <w:t>helpdesk@cor.europa.eu</w:t>
              </w:r>
            </w:hyperlink>
            <w:r>
              <w:rPr>
                <w:b/>
              </w:rPr>
              <w:t>) készséggel áll rendelkezésére.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827F78" w:rsidRDefault="00651A76" w:rsidP="00FB6F14">
      <w:pPr>
        <w:pStyle w:val="MainStyleCenter"/>
        <w:widowControl/>
        <w:spacing w:line="288" w:lineRule="auto"/>
      </w:pPr>
      <w:r>
        <w:t>_____________</w:t>
      </w:r>
    </w:p>
    <w:p w:rsidR="00827F78" w:rsidRPr="00FB6F14" w:rsidRDefault="00827F78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Tr="00DA4C7E">
        <w:trPr>
          <w:jc w:val="center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Default="009C2E1C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Az ülésre online módon kerül sor, és fizikai részvétel nem lehetséges.</w:t>
            </w:r>
          </w:p>
          <w:p w:rsidR="009C2E1C" w:rsidRPr="00FB6F14" w:rsidRDefault="009C2E1C">
            <w:pPr>
              <w:rPr>
                <w:lang w:val="en-GB"/>
              </w:rPr>
            </w:pPr>
          </w:p>
          <w:p w:rsidR="009C2E1C" w:rsidRDefault="009C2E1C" w:rsidP="000F0406">
            <w:r>
              <w:t>Ezt a napirendet tájékoztatásul a SEDEC szakbizottság minden tagja megkapja. Kérjük, vegye figyelembe, hogy az Ön részvétele (vagy a részvételi jog átruházása), valamint a kifizetésekre vagy költségtérítésekre való jogosultsága attól függ, hogy 1) az ülés időpontjában érvényes mandátummal rendelkezik-e mint a Régiók Bizottsága tagja, és 2) az online ülésekre vonatkozó, az adott ülés időpontjában hatályban lévő megfelelő RB-szabályzatok mit írnak elő</w:t>
            </w:r>
            <w:r w:rsidRPr="00FB6F14">
              <w:rPr>
                <w:vertAlign w:val="superscript"/>
                <w:lang w:val="en-GB"/>
              </w:rPr>
              <w:footnoteReference w:id="2"/>
            </w:r>
            <w:r>
              <w:t>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A távolból részt vevő tagok és szabályosan megbízott póttagok a 2020. október 9-i 0021/2020. sz. szabályzattal módosított 2020. június 23-i 0014/2020. sz. szabályzat értelmében a távülések idejére átalányösszegű ellátmányra jogosultak.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Kérjük a tagokat, hogy az online rendszeren keresztül erősítsék meg az online ülésen való részvételüket vagy értesítsék a titkárságot, ha az eljárási szabályzat 5. cikkének (2) bekezdése értelmében egy másik tagra vagy póttagra kívánják átruházni részvételi jogukat. Az online rendszer a tagok portálján keresztül érhető el az RB honlapjáról.</w:t>
            </w:r>
          </w:p>
          <w:p w:rsidR="00487D8A" w:rsidRPr="00FB6F14" w:rsidRDefault="00487D8A" w:rsidP="000F0406">
            <w:pPr>
              <w:rPr>
                <w:lang w:val="en-GB"/>
              </w:rPr>
            </w:pPr>
          </w:p>
          <w:p w:rsidR="009C2E1C" w:rsidRPr="00FB6F14" w:rsidRDefault="009C2E1C" w:rsidP="000F0406">
            <w:pPr>
              <w:rPr>
                <w:b/>
              </w:rPr>
            </w:pPr>
            <w:r>
              <w:rPr>
                <w:b/>
              </w:rPr>
              <w:t>Amennyiben segítségre lenne szüksége, informatikai szolgálatunk (Helpdesk – Tel.: +32 2 546 9697; e-mail:</w:t>
            </w:r>
            <w:r>
              <w:t xml:space="preserve"> </w:t>
            </w:r>
            <w:hyperlink r:id="rId14" w:history="1">
              <w:r>
                <w:rPr>
                  <w:b/>
                  <w:color w:val="0000FF"/>
                  <w:u w:val="single"/>
                </w:rPr>
                <w:t>helpdesk@cor.europa.eu</w:t>
              </w:r>
            </w:hyperlink>
            <w:r>
              <w:rPr>
                <w:b/>
              </w:rPr>
              <w:t>) készséggel áll rendelkezésére.</w:t>
            </w:r>
          </w:p>
        </w:tc>
      </w:tr>
    </w:tbl>
    <w:p w:rsidR="009C2E1C" w:rsidRPr="00FB6F14" w:rsidRDefault="009C2E1C">
      <w:pPr>
        <w:tabs>
          <w:tab w:val="left" w:pos="3262"/>
        </w:tabs>
        <w:rPr>
          <w:b/>
          <w:lang w:val="en-GB"/>
        </w:rPr>
      </w:pPr>
    </w:p>
    <w:p w:rsidR="009C2E1C" w:rsidRPr="00FB6F14" w:rsidRDefault="009C2E1C">
      <w:r>
        <w:rPr>
          <w:b/>
        </w:rPr>
        <w:t>Felelősségkizáró nyilatkozat</w:t>
      </w:r>
      <w:r>
        <w:t>: „Az RB 0015/2018. sz. elnökségi határozatával összhangban az ülést hangfelvételen rögzítik és interneten közvetítik, és az ülésről videofelvételek és fényképek is készülhetnek. Az így összegyűjtött anyagot az RB felhasználhatja belső és külső kommunikációs célokra. A személyes adatok kezelése az (EU) 1725/2018 rendelettel összhangban történik. Az RB nem vállal felelősséget az ülésről készült kép- vagy hanganyagok harmadik fél általi felhasználásáért, amelyhez az ülés résztvevőinek kifejezett hozzájárulása szükséges.”</w:t>
      </w:r>
    </w:p>
    <w:p w:rsidR="009C2E1C" w:rsidRPr="00FB6F14" w:rsidRDefault="009C2E1C">
      <w:pPr>
        <w:rPr>
          <w:lang w:val="en-GB"/>
        </w:rPr>
      </w:pPr>
    </w:p>
    <w:p w:rsidR="009C2E1C" w:rsidRPr="00FB6F14" w:rsidRDefault="009C2E1C">
      <w:pPr>
        <w:jc w:val="center"/>
      </w:pPr>
      <w:r>
        <w:t>_____________</w:t>
      </w:r>
    </w:p>
    <w:p w:rsidR="009C2E1C" w:rsidRPr="00FB6F14" w:rsidRDefault="009C2E1C">
      <w:pPr>
        <w:rPr>
          <w:bCs/>
          <w:lang w:val="en-GB"/>
        </w:rPr>
      </w:pPr>
    </w:p>
    <w:p w:rsidR="004A5F7F" w:rsidRPr="00827F78" w:rsidRDefault="004A5F7F">
      <w:pPr>
        <w:pStyle w:val="MainStyleCenter"/>
        <w:widowControl/>
        <w:spacing w:line="288" w:lineRule="auto"/>
      </w:pPr>
    </w:p>
    <w:sectPr w:rsidR="004A5F7F" w:rsidRPr="00827F78" w:rsidSect="00FE5581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FE5581" w:rsidRDefault="00FE5581" w:rsidP="00FE5581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DA4C7E">
      <w:rPr>
        <w:noProof/>
      </w:rPr>
      <w:t>7</w:t>
    </w:r>
    <w:r>
      <w:fldChar w:fldCharType="end"/>
    </w:r>
    <w:r>
      <w:t>/</w:t>
    </w:r>
    <w:r w:rsidR="00DA4C7E">
      <w:fldChar w:fldCharType="begin"/>
    </w:r>
    <w:r w:rsidR="00DA4C7E">
      <w:instrText xml:space="preserve"> NUMPAGES </w:instrText>
    </w:r>
    <w:r w:rsidR="00DA4C7E">
      <w:fldChar w:fldCharType="separate"/>
    </w:r>
    <w:r w:rsidR="00DA4C7E">
      <w:rPr>
        <w:noProof/>
      </w:rPr>
      <w:t>7</w:t>
    </w:r>
    <w:r w:rsidR="00DA4C7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A Régiók Európai Bizottsága plenáris, elnökségi és szakbizottsági üléseinek a Covid19-járvány idején való szervezésére vonatkozó útmutatásokat meghatározó elnökségi szabályzattal, valamint a Régiók Európai Bizottsága tagjait és szabályosan megbízott póttagjait megillető, a távülések idejére járó átalányösszegű ellátmány kifizetéséről szóló, az Elnökség 2020. május 18-i ülésén elfogadott, 0010/2020. sz. szabályzattal összhangban.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90D4B"/>
    <w:rsid w:val="000F0406"/>
    <w:rsid w:val="001D333C"/>
    <w:rsid w:val="001F0B8A"/>
    <w:rsid w:val="00207F2A"/>
    <w:rsid w:val="00222038"/>
    <w:rsid w:val="00272F64"/>
    <w:rsid w:val="00287045"/>
    <w:rsid w:val="002A35B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540A7"/>
    <w:rsid w:val="005561F5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1EC2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7748D"/>
    <w:rsid w:val="00995F3E"/>
    <w:rsid w:val="009B3777"/>
    <w:rsid w:val="009C2E1C"/>
    <w:rsid w:val="00A84128"/>
    <w:rsid w:val="00AF33D7"/>
    <w:rsid w:val="00AF6645"/>
    <w:rsid w:val="00B61FDF"/>
    <w:rsid w:val="00B620C6"/>
    <w:rsid w:val="00BC3C15"/>
    <w:rsid w:val="00C33F0D"/>
    <w:rsid w:val="00C443A3"/>
    <w:rsid w:val="00C82A53"/>
    <w:rsid w:val="00CB68F5"/>
    <w:rsid w:val="00CC655B"/>
    <w:rsid w:val="00DA4C7E"/>
    <w:rsid w:val="00DC60AE"/>
    <w:rsid w:val="00DD7115"/>
    <w:rsid w:val="00DE12CA"/>
    <w:rsid w:val="00E07A47"/>
    <w:rsid w:val="00E15219"/>
    <w:rsid w:val="00E16183"/>
    <w:rsid w:val="00E24CBD"/>
    <w:rsid w:val="00E55417"/>
    <w:rsid w:val="00E85DE6"/>
    <w:rsid w:val="00EA2481"/>
    <w:rsid w:val="00F215FF"/>
    <w:rsid w:val="00FA2263"/>
    <w:rsid w:val="00FB6F14"/>
    <w:rsid w:val="00FC51B2"/>
    <w:rsid w:val="00FC73D6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hu-HU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hu-HU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hu-HU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hu-HU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hu-HU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hu-HU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hu-HU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hu-HU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hu-HU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hu-HU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hu-HU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hu-HU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3T5AXJEHYTWU-1246943346-5355</_dlc_DocId>
    <_dlc_DocIdUrl xmlns="0b452354-65a4-4dd6-8824-e6b830247e3e">
      <Url>http://dm2016/cor/2020/_layouts/15/DocIdRedir.aspx?ID=3T5AXJEHYTWU-1246943346-5355</Url>
      <Description>3T5AXJEHYTWU-1246943346-5355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2020-11-19T12:00:00+00:00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F5C4C843-7BAD-420A-B7CD-83CFBA378880}"/>
</file>

<file path=customXml/itemProps2.xml><?xml version="1.0" encoding="utf-8"?>
<ds:datastoreItem xmlns:ds="http://schemas.openxmlformats.org/officeDocument/2006/customXml" ds:itemID="{CF953399-7EF7-44B6-A6EB-BE6BC4E65DA2}"/>
</file>

<file path=customXml/itemProps3.xml><?xml version="1.0" encoding="utf-8"?>
<ds:datastoreItem xmlns:ds="http://schemas.openxmlformats.org/officeDocument/2006/customXml" ds:itemID="{72DA6A66-70A2-41D1-A4BF-1CE98BAD309A}"/>
</file>

<file path=customXml/itemProps4.xml><?xml version="1.0" encoding="utf-8"?>
<ds:datastoreItem xmlns:ds="http://schemas.openxmlformats.org/officeDocument/2006/customXml" ds:itemID="{8578331F-8A57-4279-A944-221F1EA6C559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7</Pages>
  <Words>1328</Words>
  <Characters>9167</Characters>
  <Application>Microsoft Office Word</Application>
  <DocSecurity>0</DocSecurity>
  <Lines>76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Napirend - 5. SEDEC szakbizottsági ülés</dc:title>
  <dc:creator>Daniela Pastina</dc:creator>
  <cp:keywords>COR-2020-04663-00-03-CONVPOJ-TRA-EN</cp:keywords>
  <dc:description>Rapporteur:  - Original language: EN - Date of document: 19/11/2020 - Date of meeting: 25/11/2020 - External documents:  - Administrator:  SATTA Valeria</dc:description>
  <cp:lastModifiedBy>Maszlag Andrea</cp:lastModifiedBy>
  <cp:revision>8</cp:revision>
  <dcterms:created xsi:type="dcterms:W3CDTF">2020-11-19T13:38:00Z</dcterms:created>
  <dcterms:modified xsi:type="dcterms:W3CDTF">2020-11-19T14:10:00Z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19/11/2020, 18/11/2020, 27/10/2020, 21/10/2020</vt:lpwstr>
  </property>
  <property fmtid="{D5CDD505-2E9C-101B-9397-08002B2CF9AE}" pid="4" name="Pref_Time">
    <vt:lpwstr>14:12:09, 08:09:26, 19:41:53, 13:08:56</vt:lpwstr>
  </property>
  <property fmtid="{D5CDD505-2E9C-101B-9397-08002B2CF9AE}" pid="5" name="Pref_User">
    <vt:lpwstr>enied, enied, mkop, hnic</vt:lpwstr>
  </property>
  <property fmtid="{D5CDD505-2E9C-101B-9397-08002B2CF9AE}" pid="6" name="Pref_FileName">
    <vt:lpwstr>COR-2020-04663-00-03-CONVPOJ-ORI.docx, 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3f7fec12-c61e-4434-9142-c93e451b466f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ES|e7a6b05b-ae16-40c8-add9-68b64b03aeba;EN|f2175f21-25d7-44a3-96da-d6a61b075e1b;LT|a7ff5ce7-6123-4f68-865a-a57c31810414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50;#SEDEC-VII|2234d809-5ab4-4b5b-84d4-8dd3531523c3;#5;#Unrestricted|826e22d7-d029-4ec0-a450-0c28ff673572;#8;#TRA|150d2a88-1431-44e6-a8ca-0bb753ab8672;#7;#EN|f2175f21-25d7-44a3-96da-d6a61b075e1b;#6;#Final|ea5e6674-7b27-4bac-b091-73adbb394efe;#33;#CONVPOJ|4be1222e-972b-4c27-a530-eec9a2dcd101;#19;#LT|a7ff5ce7-6123-4f68-865a-a57c31810414;#1;#CoR|cb2d75ef-4a7d-4393-b797-49ed6298a5ea;#16;#ES|e7a6b05b-ae16-40c8-add9-68b64b03aeb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27;#HU|6b229040-c589-4408-b4c1-4285663d20a8</vt:lpwstr>
  </property>
  <property fmtid="{D5CDD505-2E9C-101B-9397-08002B2CF9AE}" pid="39" name="_docset_NoMedatataSyncRequired">
    <vt:lpwstr>False</vt:lpwstr>
  </property>
</Properties>
</file>