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fr-BE" w:eastAsia="fr-BE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PT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5B12E4">
              <w:rPr>
                <w:noProof/>
                <w:lang w:val="fr-BE" w:eastAsia="fr-BE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P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9E1861">
      <w:pPr>
        <w:pStyle w:val="MainStyleRight"/>
        <w:widowControl/>
      </w:pPr>
      <w:r>
        <w:t xml:space="preserve">Bruxelas, </w:t>
      </w:r>
      <w:r w:rsidR="009E1861">
        <w:t xml:space="preserve">20 </w:t>
      </w:r>
      <w:r>
        <w:t>de novembro de 2020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CONVOCATÓRIA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VII mandato – Comissão SEDEC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À luz da crise atual da COVID-19, e em conformidade com a recente decisão do presidente do CR, esta reunião será realizada à distância, não sendo possível a participação presencial.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Não é possível votar nas propostas de alteração e nos pareceres durante a reunião da comissão. A votação terá lugar à distância nos dias imediatamente a seguir à reunião.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Os membros receberão um GUIA PRÁTICO para a ligação à plataforma de reuniões à distância. Todos os documentos da reunião estão disponíveis exclusivamente no Portal dos Membros.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1"/>
        <w:gridCol w:w="635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Reunião n.º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Presidente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(FI-PSE)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Local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Comité das Regiões, Rue Belliard/Belliardstraat 101 – 1040 Bruxelles/Brussel (sala JDE 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Data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25/11/2020 11:00 - 18:30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Prazo para a apresentação de alterações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12/11/2020, às 15 horas (hora de Bruxelas)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Prazo para apresentação de delegações de presença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24/11/2020, às 24 horas (hora de Bruxelas)</w:t>
            </w:r>
          </w:p>
        </w:tc>
      </w:tr>
    </w:tbl>
    <w:p w:rsidR="004A5F7F" w:rsidRPr="00827F78" w:rsidRDefault="004A5F7F" w:rsidP="00FB6F14">
      <w:pPr>
        <w:jc w:val="left"/>
      </w:pP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Projeto de ordem do dia: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Aprovação do projeto de ordem do dia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Aprovação da ata da 4.ª reunião</w:t>
      </w:r>
    </w:p>
    <w:p w:rsidR="00967A63" w:rsidRPr="00651A66" w:rsidRDefault="00967A63" w:rsidP="009E1861">
      <w:pPr>
        <w:ind w:left="567"/>
      </w:pPr>
      <w:r>
        <w:t>COR-2020-04471-00-</w:t>
      </w:r>
      <w:r w:rsidR="009E1861">
        <w:t>00</w:t>
      </w:r>
      <w:r>
        <w:t>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Comunicação do presidente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lastRenderedPageBreak/>
        <w:t>Debate com Mariya Gabriel, comissária da Inovação, Investigação, Cultura, Educação e Juventude</w:t>
      </w:r>
      <w:r w:rsidR="009E1861">
        <w:rPr>
          <w:b/>
        </w:rPr>
        <w:t>, e Apostolos Tzitzikostas, presidente do Comité das Regiões Europeu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Organização dos trabalhos futuros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Para decisão: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5A65A4">
      <w:pPr>
        <w:pStyle w:val="Heading2"/>
        <w:ind w:left="567" w:hanging="567"/>
      </w:pPr>
      <w:r>
        <w:t>Pareceres com base em consultas, artigo 41.º, alínea a) – Designação de relatores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5A65A4">
      <w:pPr>
        <w:pStyle w:val="Heading2"/>
        <w:ind w:left="567" w:hanging="567"/>
      </w:pPr>
      <w:r>
        <w:t>Pareceres de iniciativa, artigo 41.º, alínea b), subalínea i)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Decisão de elaboração de parecer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Designação de relatores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5A65A4">
      <w:pPr>
        <w:pStyle w:val="Heading2"/>
        <w:ind w:left="567" w:hanging="567"/>
      </w:pPr>
      <w:r>
        <w:t>Pareceres de iniciativa, artigo 41.º, alínea b), subalínea ii)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Decisão de pedido de autorização à Mesa para elaboração de parecer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Designação provisória de relatores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5A65A4">
      <w:pPr>
        <w:pStyle w:val="Heading2"/>
        <w:ind w:left="567" w:hanging="567"/>
      </w:pPr>
      <w:r>
        <w:t>Decisão de não elaboração de parecer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5A65A4">
      <w:pPr>
        <w:pStyle w:val="Heading2"/>
        <w:ind w:left="567" w:hanging="567"/>
      </w:pPr>
      <w:r>
        <w:t>Programa dos trabalhos em curso e decisão de atribuições pelo presidente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A84128" w:rsidRDefault="00A84128" w:rsidP="005A65A4">
      <w:pPr>
        <w:pStyle w:val="Heading2"/>
        <w:ind w:left="567" w:hanging="567"/>
      </w:pPr>
      <w:r>
        <w:t>Adoção do Plano de Ação Conjunto entre o Comité das Regiões Europeu e a Direção-Geral da Investigação e da Inovação, o Centro Comum de Investigação e a Direção-Geral da Educação, da Juventude, do Desporto e da Cultura</w:t>
      </w:r>
    </w:p>
    <w:p w:rsidR="007024E7" w:rsidRPr="007024E7" w:rsidRDefault="007024E7" w:rsidP="007024E7"/>
    <w:p w:rsidR="007D2DBA" w:rsidRDefault="007D2DBA" w:rsidP="005A65A4">
      <w:pPr>
        <w:pStyle w:val="Heading2"/>
        <w:ind w:left="567" w:hanging="567"/>
      </w:pPr>
      <w:r>
        <w:t>Adoção do plano de trabalho da Plataforma de Intercâmbio de Conhecimentos 2020-2021</w:t>
      </w:r>
    </w:p>
    <w:p w:rsidR="00A84128" w:rsidRDefault="00A84128" w:rsidP="005A65A4">
      <w:pPr>
        <w:rPr>
          <w:lang w:val="en-GB"/>
        </w:rPr>
      </w:pPr>
    </w:p>
    <w:p w:rsidR="00A84128" w:rsidRPr="00A84128" w:rsidRDefault="00A84128" w:rsidP="005A65A4">
      <w:pPr>
        <w:pStyle w:val="Heading2"/>
        <w:ind w:left="567" w:hanging="567"/>
      </w:pPr>
      <w:r>
        <w:t>Aprovação de uma cooperação reforçada entre o Comité das Regiões Europeu e a Direção-Geral do Emprego, dos Assuntos Sociais e da Inclusão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Para debate: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651A66">
      <w:pPr>
        <w:pStyle w:val="Heading2"/>
      </w:pPr>
      <w:r>
        <w:t>Seguimento dado aos pareceres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Troca de pontos de vista com Joost Korte, diretor-geral, Direção-Geral do Emprego, dos Assuntos Sociais e da Inclusão (DG EMPL)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Pareceres – primeiro debate e adoção</w:t>
      </w:r>
    </w:p>
    <w:p w:rsidR="000424D2" w:rsidRPr="00FB6F14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Agenda de Competências para a Europa em prol da competitividade sustentável, da justiça social e da resiliência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Relator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Csaba Borboly (RO-PPE)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 xml:space="preserve">Comunicação da Comissão ao Parlamento Europeu, ao Conselho, ao Comité Económico e Social Europeu e ao Comité </w:t>
            </w:r>
            <w:r>
              <w:lastRenderedPageBreak/>
              <w:t>das Regiões – Agenda de Competências para a Europa em prol da competitividade sustentável, da justiça social e da resiliência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Proposta de recomendação do Conselho sobre o ensino e a formação profissionais (EFP) em prol da competitividade sustentável, da justiça social e da resiliência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na plenária de</w:t>
            </w:r>
          </w:p>
        </w:tc>
        <w:tc>
          <w:tcPr>
            <w:tcW w:w="5722" w:type="dxa"/>
            <w:shd w:val="clear" w:color="auto" w:fill="FFFFFF"/>
          </w:tcPr>
          <w:p w:rsidR="004A5F7F" w:rsidRPr="007024E7" w:rsidRDefault="00E15219" w:rsidP="00FB6F14">
            <w:pPr>
              <w:spacing w:line="276" w:lineRule="auto"/>
            </w:pPr>
            <w:r w:rsidRPr="007024E7">
              <w:t>3 e 4 de fevereiro de 2021 (a confirmar)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00"/>
        <w:gridCol w:w="5655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Apoio ao emprego dos jovens: uma ponte para o emprego da próxima geração e Reforçar a Garantia para a Juventude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Relatora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(LU-PPE)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Comunicação da Comissão ao Parlamento Europeu, ao Conselho, ao Comité Económico e Social Europeu e ao Comité das Regiões – Apoio ao emprego dos jovens: uma ponte para o emprego da próxima geração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Proposta de recomendação do Conselho relativa a Uma ponte para o emprego – Reforçar a Garantia para a Juventude e que substitui a Recomendação do Conselho, de 22 de abril de 2013, relativa ao estabelecimento de uma Garantia para a Juventude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de novembro de 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na plenária de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e 4 de fevereiro de 2021 (a confirmar)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Relançamento dos setores cultural e criativo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Giuseppe Varacalli (IT-Renew)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Não aplicável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Documento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de novembro de 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na plenária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e 4 de fevereiro de 2021 (a confirmar)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Um novo EEI para a Investigação e a Inovação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Relator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(FR-PSE)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Comunicação da Comissão ao Parlamento Europeu, ao Conselho, ao Comité Económico e Social e ao Comité das Regiões – Um novo EEI para a Investigação e a Inovação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Adoção prevista em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de novembro de 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Adoção prevista na plenária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e 4 de fevereiro de 2021 (a confirmar)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Pareceres – troca de pontos de vista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Uma União da igualdade: plano de ação da UE contra o racismo 2020-2025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Relatora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(SE-PSE)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Comunicação da Comissão ao Parlamento Europeu, ao Conselho, ao Comité Económico e Social Europeu e ao Comité das Regiões – Uma União da igualdade: plano de ação da UE contra o racismo 2020-2025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COM(2020) 565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Adoção prevista na plenária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Plano de Ação para a Educação Digital 2021-2027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Relatora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(IE-Renew)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Comunicação da Comissão ao Parlamento Europeu, ao Conselho, ao Comité Económico e Social Europeu e ao Comité das Regiões – Plano de Ação para a Educação Digital 2021</w:t>
            </w:r>
            <w:r w:rsidR="00AF3EF1">
              <w:noBreakHyphen/>
            </w:r>
            <w:r>
              <w:t xml:space="preserve">2027 – Reconfigurar a educação e a formação para a era digital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Adoção prevista na plenária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Concretizar o Espaço Europeu da Educação até 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Relator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(RO-PPE)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Documento da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Comunicação da Comissão ao Parlamento Europeu, ao Conselho, ao Comité Económico e Social Europeu e ao Comité das Regiões – Concretizar o Espaço Europeu da Educação até 2025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Tipo de parecer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Parecer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Dossiê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Intervenção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Adoção prevista em comissão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p w:rsidR="004A5F7F" w:rsidRPr="00FB6F14" w:rsidRDefault="00A84128" w:rsidP="00FB6F14">
      <w:pPr>
        <w:pStyle w:val="Heading1"/>
        <w:rPr>
          <w:b/>
        </w:rPr>
      </w:pPr>
      <w:r>
        <w:rPr>
          <w:b/>
        </w:rPr>
        <w:t>Primeira troca de pontos de vista sobre o programa de trabalho da Comissão SEDEC para 2021</w:t>
      </w:r>
    </w:p>
    <w:p w:rsidR="004A5F7F" w:rsidRPr="00827F78" w:rsidRDefault="004A5F7F" w:rsidP="00FB6F14">
      <w:pPr>
        <w:jc w:val="left"/>
        <w:rPr>
          <w:b/>
          <w:bCs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Apresentação de «Mind the Digital Gap» pela Equipa Fator Y de estagiários do CR</w:t>
      </w:r>
    </w:p>
    <w:p w:rsidR="00A84128" w:rsidRPr="005A65A4" w:rsidRDefault="00A84128" w:rsidP="005A65A4">
      <w:pPr>
        <w:rPr>
          <w:lang w:val="en-GB"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Debate</w:t>
      </w:r>
    </w:p>
    <w:p w:rsidR="00A84128" w:rsidRPr="005A65A4" w:rsidRDefault="00A84128" w:rsidP="005A65A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Diversos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Confirmação da data da próxima reunião: 17 de fevereiro de 2021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207F2A">
      <w:pPr>
        <w:ind w:left="567"/>
        <w:rPr>
          <w:b/>
          <w:bCs/>
        </w:rPr>
      </w:pPr>
      <w:r>
        <w:rPr>
          <w:b/>
          <w:bCs/>
        </w:rPr>
        <w:t>Encerramento da reunião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2"/>
        <w:gridCol w:w="907"/>
        <w:gridCol w:w="5444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rPr>
                <w:b/>
                <w:bCs/>
              </w:rPr>
              <w:t>Línguas de trabalho: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rPr>
                <w:b/>
                <w:bCs/>
              </w:rPr>
            </w:pPr>
            <w:r>
              <w:rPr>
                <w:b/>
                <w:bCs/>
              </w:rPr>
              <w:t>Interpretação:</w:t>
            </w:r>
          </w:p>
          <w:p w:rsidR="004A5F7F" w:rsidRPr="00FB6F14" w:rsidRDefault="00651A76" w:rsidP="00FB6F14">
            <w:r>
              <w:t>(os participantes podem falar nestas línguas)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(as intervenções podem ser ouvidas nestas línguas)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 xml:space="preserve">As propostas de alteração devem ser enviadas através da ferramenta em linha para apresentação das propostas de alteração (disponível no Portal dos Membros: </w:t>
      </w:r>
      <w:hyperlink r:id="rId12" w:history="1">
        <w:r>
          <w:rPr>
            <w:rStyle w:val="Hyperlink"/>
          </w:rPr>
          <w:t>https://memportal.cor.europa.eu/</w:t>
        </w:r>
      </w:hyperlink>
      <w:r>
        <w:t>).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lastRenderedPageBreak/>
              <w:t>N.B.: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As despesas de deslocação e as ajudas de custo serão pagas apenas aos membros da comissão e aos suplentes designados para esta reunião.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Os membros devem usar o sistema em linha para a delegação de presença e do direito de voto, a fim de confirmarem que participarão na reunião em linha ou de informarem o secretariado da delegação de presença noutro membro ou num suplente, nos termos do artigo 5.º, n.º 2, do Regimento. O sistema em linha está disponível através do Portal dos Membros no sítio Web do CR.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>Os membros têm à sua disposição um serviço de assistência informática (</w:t>
            </w:r>
            <w:r>
              <w:rPr>
                <w:b/>
                <w:i/>
              </w:rPr>
              <w:t>helpdesk</w:t>
            </w:r>
            <w:r>
              <w:rPr>
                <w:b/>
              </w:rPr>
              <w:t>) para qualquer tipo de problema (+32 2 546 96 97; correio eletrónico:</w:t>
            </w:r>
            <w:r>
              <w:t xml:space="preserve"> </w:t>
            </w:r>
            <w:hyperlink r:id="rId13" w:history="1">
              <w:r>
                <w:rPr>
                  <w:rStyle w:val="Hyperlink"/>
                  <w:b/>
                </w:rPr>
                <w:t>helpdesk@cor.europa.eu</w:t>
              </w:r>
            </w:hyperlink>
            <w:r>
              <w:rPr>
                <w:b/>
              </w:rPr>
              <w:t>).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9C2E1C" w:rsidRPr="00FB6F14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r>
              <w:rPr>
                <w:b/>
              </w:rPr>
              <w:t>Esta reunião realizar-se-á em linha, não sendo possível participar de forma presencial.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A ordem do dia é enviada a todos os membros da Comissão SEDEC para informação. A participação como membro (ou suplente) e o direito a receber qualquer pagamento ou reembolso estão sujeitos 1) à validade do mandato na qualidade de membro do Comité das Regiões à data da reunião, e 2) aos regulamentos do CR pertinentes aplicáveis às reuniões em linha em vigor à data da reunião</w:t>
            </w:r>
            <w:r w:rsidRPr="00FB6F14">
              <w:rPr>
                <w:vertAlign w:val="superscript"/>
                <w:lang w:val="en-GB"/>
              </w:rPr>
              <w:footnoteReference w:id="2"/>
            </w:r>
            <w:r>
              <w:t>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Os membros e os suplentes devidamente mandatados que participem à distância têm direito a ajudas de custo por dia de reunião à distância, em conformidade com o Regulamento n.º 14/2020, de 23 de junho de 2020, como alterado pelo Regulamento n.º 21/2020, de 9 de outubro de 2020.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Os membros devem usar o sistema em linha para a delegação de presença e do direito de voto, a fim de confirmarem que participarão na reunião em linha ou de informarem o secretariado da delegação de presença noutro membro ou num suplente, nos termos do artigo 5.º, n.º 2, do Regimento. O sistema em linha está disponível através do Portal dos Membros no sítio Web do CR.</w:t>
            </w:r>
          </w:p>
          <w:p w:rsidR="00487D8A" w:rsidRPr="00FB6F14" w:rsidRDefault="00487D8A" w:rsidP="000F0406">
            <w:pPr>
              <w:rPr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>Os membros têm à sua disposição um serviço de assistência informática (</w:t>
            </w:r>
            <w:r>
              <w:rPr>
                <w:b/>
                <w:i/>
              </w:rPr>
              <w:t>helpdesk</w:t>
            </w:r>
            <w:r>
              <w:rPr>
                <w:b/>
              </w:rPr>
              <w:t>) para qualquer tipo de problema (+32 2 546 96 97; correio eletrónico:</w:t>
            </w:r>
            <w:r>
              <w:t xml:space="preserve">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helpdesk@cor.europa.eu)</w:t>
              </w:r>
            </w:hyperlink>
            <w:r>
              <w:rPr>
                <w:b/>
              </w:rPr>
              <w:t>.</w:t>
            </w:r>
          </w:p>
        </w:tc>
      </w:tr>
    </w:tbl>
    <w:p w:rsidR="009C2E1C" w:rsidRPr="00FB6F14" w:rsidRDefault="009C2E1C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>
      <w:r>
        <w:rPr>
          <w:b/>
        </w:rPr>
        <w:t>Declaração de exoneração de responsabilidade:</w:t>
      </w:r>
      <w:r>
        <w:t xml:space="preserve"> Em conformidade com a Decisão n.º 15/2018 da Mesa do CR, esta reunião será gravada em áudio e transmitida via Internet, podendo ser filmada ou fotografada. O CR pode</w:t>
      </w:r>
      <w:bookmarkStart w:id="0" w:name="_GoBack"/>
      <w:bookmarkEnd w:id="0"/>
      <w:r>
        <w:t xml:space="preserve"> utilizar o material assim recolhido para efeitos de comunicação interna e externa. Os dados pessoais serão tratados em conformidade com o Regulamento (UE) n.º 1725/2018. O CR não é responsável pela utilização por terceiros das gravações em vídeo ou áudio desta reunião, que requer o consentimento expresso dos participantes na reunião.</w:t>
      </w:r>
    </w:p>
    <w:p w:rsidR="004A5F7F" w:rsidRPr="00EB39BA" w:rsidRDefault="009C2E1C" w:rsidP="00EB39BA">
      <w:pPr>
        <w:jc w:val="center"/>
        <w:rPr>
          <w:bCs/>
          <w:lang w:val="en-GB"/>
        </w:rPr>
      </w:pPr>
      <w:r>
        <w:t>_____________</w:t>
      </w:r>
    </w:p>
    <w:sectPr w:rsidR="004A5F7F" w:rsidRPr="00EB39BA" w:rsidSect="00CB68F5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CB68F5" w:rsidRDefault="00CB68F5" w:rsidP="009E1861">
    <w:pPr>
      <w:pStyle w:val="Footer"/>
    </w:pPr>
    <w:r>
      <w:t>COR-2020-04663-00-0</w:t>
    </w:r>
    <w:r w:rsidR="009E1861">
      <w:t>3</w:t>
    </w:r>
    <w:r>
      <w:t xml:space="preserve">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AF3EF1">
      <w:rPr>
        <w:noProof/>
      </w:rPr>
      <w:t>6</w:t>
    </w:r>
    <w:r>
      <w:fldChar w:fldCharType="end"/>
    </w:r>
    <w:r>
      <w:t>/</w:t>
    </w:r>
    <w:fldSimple w:instr=" NUMPAGES ">
      <w:r w:rsidR="00AF3EF1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Nos termos do Regulamento da Mesa que estabelece instruções para a organização da Assembleia Plenária e das reuniões da Mesa e de comissão do Comité das Regiões Europeu durante a pandemia de COVID-19 e do Regulamento 10/2020 relativo ao pagamento de uma ajuda de custo por dia de reunião à distância para os membros e suplentes devidamente mandatados do Comité das Regiões Europeu, adotados na reunião da Mesa de 18 de maio de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A6839"/>
    <w:rsid w:val="000F0406"/>
    <w:rsid w:val="001D333C"/>
    <w:rsid w:val="001F0B8A"/>
    <w:rsid w:val="00207F2A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A65A4"/>
    <w:rsid w:val="005B12E4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024E7"/>
    <w:rsid w:val="00731294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B3777"/>
    <w:rsid w:val="009C2E1C"/>
    <w:rsid w:val="009E1861"/>
    <w:rsid w:val="00A84128"/>
    <w:rsid w:val="00AF33D7"/>
    <w:rsid w:val="00AF3EF1"/>
    <w:rsid w:val="00AF6645"/>
    <w:rsid w:val="00B61FDF"/>
    <w:rsid w:val="00B620C6"/>
    <w:rsid w:val="00BC3C15"/>
    <w:rsid w:val="00C443A3"/>
    <w:rsid w:val="00C82A53"/>
    <w:rsid w:val="00CB68F5"/>
    <w:rsid w:val="00CC655B"/>
    <w:rsid w:val="00DD7115"/>
    <w:rsid w:val="00DE12CA"/>
    <w:rsid w:val="00E07A47"/>
    <w:rsid w:val="00E15219"/>
    <w:rsid w:val="00E24CBD"/>
    <w:rsid w:val="00E55417"/>
    <w:rsid w:val="00E85DE6"/>
    <w:rsid w:val="00EA2481"/>
    <w:rsid w:val="00EB39BA"/>
    <w:rsid w:val="00FB6EB4"/>
    <w:rsid w:val="00FB6F14"/>
    <w:rsid w:val="00FC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8ACE8CD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pt-PT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pt-PT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pt-PT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pt-PT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pt-PT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pt-PT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pt-PT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B6E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3T5AXJEHYTWU-1246943346-5427</_dlc_DocId>
    <_dlc_DocIdUrl xmlns="0b452354-65a4-4dd6-8824-e6b830247e3e">
      <Url>http://dm2016/cor/2020/_layouts/15/DocIdRedir.aspx?ID=3T5AXJEHYTWU-1246943346-5427</Url>
      <Description>3T5AXJEHYTWU-1246943346-5427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FB3A6075-2366-4D29-B008-805D33001282}"/>
</file>

<file path=customXml/itemProps2.xml><?xml version="1.0" encoding="utf-8"?>
<ds:datastoreItem xmlns:ds="http://schemas.openxmlformats.org/officeDocument/2006/customXml" ds:itemID="{1CAC342C-DD5F-4FFF-9CAE-5B8A371CE3FC}"/>
</file>

<file path=customXml/itemProps3.xml><?xml version="1.0" encoding="utf-8"?>
<ds:datastoreItem xmlns:ds="http://schemas.openxmlformats.org/officeDocument/2006/customXml" ds:itemID="{AD748DD1-2ADD-4C02-8F13-30FFC47C656E}"/>
</file>

<file path=customXml/itemProps4.xml><?xml version="1.0" encoding="utf-8"?>
<ds:datastoreItem xmlns:ds="http://schemas.openxmlformats.org/officeDocument/2006/customXml" ds:itemID="{D16BF338-5548-4B51-9D6A-41531C342C98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1</TotalTime>
  <Pages>6</Pages>
  <Words>1536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Ordem do dia da 5.ª reunião da Comissão SEDEC</dc:title>
  <dc:creator>Daniela Pastina</dc:creator>
  <cp:keywords>COR-2020-04663-00-03-CONVPOJ-TRA-EN</cp:keywords>
  <dc:description>Rapporteur:  - Original language: EN - Date of document: 20/11/2020 - Date of meeting: 25/11/2020 - External documents:  - Administrator:  SATTA Valeria</dc:description>
  <cp:lastModifiedBy>Nobre Da Silva Vanda</cp:lastModifiedBy>
  <cp:revision>4</cp:revision>
  <dcterms:created xsi:type="dcterms:W3CDTF">2020-11-19T17:26:00Z</dcterms:created>
  <dcterms:modified xsi:type="dcterms:W3CDTF">2020-11-20T07:57:00Z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18/11/2020, 27/10/2020, 21/10/2020</vt:lpwstr>
  </property>
  <property fmtid="{D5CDD505-2E9C-101B-9397-08002B2CF9AE}" pid="4" name="Pref_Time">
    <vt:lpwstr>08:09:26, 19:41:53, 13:08:56</vt:lpwstr>
  </property>
  <property fmtid="{D5CDD505-2E9C-101B-9397-08002B2CF9AE}" pid="5" name="Pref_User">
    <vt:lpwstr>enied, mkop, hnic</vt:lpwstr>
  </property>
  <property fmtid="{D5CDD505-2E9C-101B-9397-08002B2CF9AE}" pid="6" name="Pref_FileName">
    <vt:lpwstr>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ece5f76d-5c33-44d6-84ed-b95054f3ffd9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DA|5d49c027-8956-412b-aa16-e85a0f96ad0e;LT|a7ff5ce7-6123-4f68-865a-a57c31810414;MT|7df99101-6854-4a26-b53a-b88c0da02c26;IT|0774613c-01ed-4e5d-a25d-11d2388de825;DE|f6b31e5a-26fa-4935-b661-318e46daf27e;HU|6b229040-c589-4408-b4c1-4285663d20a8;NL|55c6556c-b4f4-441d-9acf-c498d4f838bd;SK|46d9fce0-ef79-4f71-b89b-cd6aa82426b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33;#CONVPOJ|4be1222e-972b-4c27-a530-eec9a2dcd101;#30;#DA|5d49c027-8956-412b-aa16-e85a0f96ad0e;#27;#HU|6b229040-c589-4408-b4c1-4285663d20a8;#23;#DE|f6b31e5a-26fa-4935-b661-318e46daf27e;#19;#LT|a7ff5ce7-6123-4f68-865a-a57c31810414;#18;#NL|55c6556c-b4f4-441d-9acf-c498d4f838bd;#16;#ES|e7a6b05b-ae16-40c8-add9-68b64b03aeba;#15;#SK|46d9fce0-ef79-4f71-b89b-cd6aa82426b8;#14;#MT|7df99101-6854-4a26-b53a-b88c0da02c26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35;#PT|50ccc04a-eadd-42ae-a0cb-acaf45f812ba</vt:lpwstr>
  </property>
</Properties>
</file>