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US"/>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SV</w:t>
                            </w:r>
                          </w:p>
                        </w:txbxContent>
                      </v:textbox>
                      <w10:wrap anchorx="page" anchory="page"/>
                    </v:shape>
                  </w:pict>
                </mc:Fallback>
              </mc:AlternateContent>
            </w:r>
            <w:r w:rsidR="00811D1D">
              <w:rPr>
                <w:noProof/>
                <w:lang w:val="en-US"/>
              </w:rPr>
              <w:drawing>
                <wp:inline distT="0" distB="0" distL="0" distR="0">
                  <wp:extent cx="1799590" cy="1555750"/>
                  <wp:effectExtent l="0" t="0" r="0" b="6350"/>
                  <wp:docPr id="1" name="Picture 1" title="CoRLogo_S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Bryssel den 20 november 2020</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KALLELSE</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7:e mandatperioden – SEDEC-utskottet</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Mot bakgrund av den nuvarande situationen med covid-19 och i enlighet med ReK-ordförandens beslut nyligen kommer detta sammanträde att äga rum i form av ett distanssammanträde utan möjlighet att delta på plats.</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Det är inte möjligt att rösta om ändringsförslag och yttranden under utskottssammanträdet. Omröstningarna kommer i stället att ske på distans dagarna omedelbart efter sammanträdet.</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Medlemmarna kommer att få en PRAKTISK VÄGLEDNING om hur man ansluter sig till distanssammanträdesplattformen. Alla sammanträdesdokument kommer uteslutande att finnas tillgängliga på ledamöternas portal.</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Sammanträde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Ordförande</w:t>
            </w:r>
          </w:p>
        </w:tc>
        <w:tc>
          <w:tcPr>
            <w:tcW w:w="6351" w:type="dxa"/>
            <w:tcBorders>
              <w:top w:val="nil"/>
              <w:left w:val="nil"/>
              <w:bottom w:val="nil"/>
              <w:right w:val="nil"/>
            </w:tcBorders>
            <w:shd w:val="clear" w:color="auto" w:fill="FFFFFF"/>
          </w:tcPr>
          <w:p w:rsidR="004A5F7F" w:rsidRPr="00FB6F14" w:rsidRDefault="00651A76" w:rsidP="00FB6F14">
            <w:r>
              <w:t>Anne Karjalainen (FI–PES)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Plats</w:t>
            </w:r>
          </w:p>
        </w:tc>
        <w:tc>
          <w:tcPr>
            <w:tcW w:w="6351" w:type="dxa"/>
            <w:tcBorders>
              <w:top w:val="nil"/>
              <w:left w:val="nil"/>
              <w:bottom w:val="nil"/>
              <w:right w:val="nil"/>
            </w:tcBorders>
            <w:shd w:val="clear" w:color="auto" w:fill="FFFFFF"/>
          </w:tcPr>
          <w:p w:rsidR="004A5F7F" w:rsidRPr="00FB6F14" w:rsidRDefault="00651A76" w:rsidP="00FB6F14">
            <w:r>
              <w:t>Kommitténs lokaler, rue Belliard/Belliardstraat 101, 1040 Bryssel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Datum</w:t>
            </w:r>
          </w:p>
        </w:tc>
        <w:tc>
          <w:tcPr>
            <w:tcW w:w="6351" w:type="dxa"/>
            <w:tcBorders>
              <w:top w:val="nil"/>
              <w:left w:val="nil"/>
              <w:bottom w:val="nil"/>
              <w:right w:val="nil"/>
            </w:tcBorders>
            <w:shd w:val="clear" w:color="auto" w:fill="FFFFFF"/>
          </w:tcPr>
          <w:p w:rsidR="004A5F7F" w:rsidRPr="00FB6F14" w:rsidRDefault="00651A76" w:rsidP="007447E1">
            <w:r>
              <w:t>25/11/2020 kl. 11.00–18.30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Tidsgräns för ändringsförslag</w:t>
            </w:r>
          </w:p>
        </w:tc>
        <w:tc>
          <w:tcPr>
            <w:tcW w:w="6351" w:type="dxa"/>
            <w:tcBorders>
              <w:top w:val="nil"/>
              <w:left w:val="nil"/>
              <w:bottom w:val="nil"/>
              <w:right w:val="nil"/>
            </w:tcBorders>
            <w:shd w:val="clear" w:color="auto" w:fill="FFFFFF"/>
          </w:tcPr>
          <w:p w:rsidR="004A5F7F" w:rsidRPr="00FB6F14" w:rsidRDefault="00651A76" w:rsidP="00FB6F14">
            <w:r>
              <w:t>12/11/2020 kl. 15.00 (belgisk tid)</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Tidsgräns för registrering av överlåtelse</w:t>
            </w:r>
          </w:p>
        </w:tc>
        <w:tc>
          <w:tcPr>
            <w:tcW w:w="6351" w:type="dxa"/>
            <w:tcBorders>
              <w:top w:val="nil"/>
              <w:left w:val="nil"/>
              <w:bottom w:val="nil"/>
              <w:right w:val="nil"/>
            </w:tcBorders>
            <w:shd w:val="clear" w:color="auto" w:fill="FFFFFF"/>
          </w:tcPr>
          <w:p w:rsidR="004A5F7F" w:rsidRPr="00FB6F14" w:rsidRDefault="00651A76" w:rsidP="00FB6F14">
            <w:r>
              <w:t>24/11/2020 kl. 24.00 (belgisk tid)</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Förslag till dagordning</w:t>
      </w:r>
    </w:p>
    <w:p w:rsidR="000424D2" w:rsidRPr="00827F78" w:rsidRDefault="000424D2" w:rsidP="00FB6F14">
      <w:pPr>
        <w:keepNext/>
        <w:jc w:val="left"/>
        <w:rPr>
          <w:b/>
          <w:bCs/>
        </w:rPr>
      </w:pPr>
    </w:p>
    <w:p w:rsidR="004A5F7F" w:rsidRPr="00FB6F14" w:rsidRDefault="00651A76" w:rsidP="00FB6F14">
      <w:pPr>
        <w:pStyle w:val="Heading1"/>
        <w:rPr>
          <w:b/>
        </w:rPr>
      </w:pPr>
      <w:r>
        <w:rPr>
          <w:b/>
        </w:rPr>
        <w:t>Godkännande av dagordningen</w:t>
      </w:r>
    </w:p>
    <w:p w:rsidR="004A5F7F" w:rsidRPr="00FB6F14" w:rsidRDefault="004A5F7F" w:rsidP="000424D2">
      <w:pPr>
        <w:spacing w:line="320" w:lineRule="atLeast"/>
        <w:rPr>
          <w:lang w:val="en-GB"/>
        </w:rPr>
      </w:pPr>
    </w:p>
    <w:p w:rsidR="004A5F7F" w:rsidRDefault="00651A76" w:rsidP="00FB6F14">
      <w:pPr>
        <w:pStyle w:val="Heading1"/>
        <w:rPr>
          <w:b/>
        </w:rPr>
      </w:pPr>
      <w:r>
        <w:rPr>
          <w:b/>
        </w:rPr>
        <w:t>Godkännande av protokollet från det 4:e sammanträdet</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Meddelanden från ordföranden</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Diskussion med Mariya Gabriel, kommissionsledamot med ansvar för innovation, forskning, kultur, utbildning och ungdomsfrågor och Apostolos Tzitzikostas, Europeiska regionkommitténs ordförande</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Planering av utskottets framtida arbete</w:t>
      </w:r>
    </w:p>
    <w:p w:rsidR="004A5F7F" w:rsidRPr="00FB6F14" w:rsidRDefault="004A5F7F" w:rsidP="00FB6F14">
      <w:pPr>
        <w:spacing w:line="240" w:lineRule="auto"/>
        <w:rPr>
          <w:lang w:val="en-GB"/>
        </w:rPr>
      </w:pPr>
    </w:p>
    <w:p w:rsidR="004A5F7F" w:rsidRPr="00FB6F14" w:rsidRDefault="00651A76" w:rsidP="00FB6F14">
      <w:pPr>
        <w:ind w:left="567"/>
      </w:pPr>
      <w:r>
        <w:t>För beslut:</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Remissyttranden (artikel 41 a) – Utnämning av föredragande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Yttranden på eget initiativ (artikel 41 b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Beslut om att utarbeta ett yttrande</w:t>
      </w:r>
    </w:p>
    <w:p w:rsidR="004A5F7F" w:rsidRPr="00FB6F14" w:rsidRDefault="00651A76" w:rsidP="00FB6F14">
      <w:pPr>
        <w:pStyle w:val="ListParagraph"/>
        <w:numPr>
          <w:ilvl w:val="0"/>
          <w:numId w:val="5"/>
        </w:numPr>
        <w:tabs>
          <w:tab w:val="clear" w:pos="563"/>
        </w:tabs>
        <w:ind w:left="850"/>
      </w:pPr>
      <w:r>
        <w:t>Utnämning av föredragande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Yttranden på eget initiativ (artikel 41 b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Beslut om att begära presidiets godkännande för ett yttrande</w:t>
      </w:r>
    </w:p>
    <w:p w:rsidR="004A5F7F" w:rsidRPr="00FB6F14" w:rsidRDefault="00651A76" w:rsidP="00FB6F14">
      <w:pPr>
        <w:pStyle w:val="ListParagraph"/>
        <w:numPr>
          <w:ilvl w:val="0"/>
          <w:numId w:val="7"/>
        </w:numPr>
        <w:tabs>
          <w:tab w:val="clear" w:pos="563"/>
        </w:tabs>
        <w:ind w:left="850"/>
      </w:pPr>
      <w:r>
        <w:t>Preliminär utnämning av föredragande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Beslut om att inte utarbeta yttranden</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Löpande arbetsprogram samt tilldelningsbeslut av ordföranden</w:t>
      </w:r>
    </w:p>
    <w:p w:rsidR="000424D2" w:rsidRPr="00FB6F14" w:rsidRDefault="000424D2" w:rsidP="00FB6F14">
      <w:pPr>
        <w:spacing w:line="240" w:lineRule="auto"/>
        <w:rPr>
          <w:lang w:val="en-GB"/>
        </w:rPr>
      </w:pPr>
    </w:p>
    <w:p w:rsidR="00995F3E" w:rsidRDefault="00A84128" w:rsidP="00DC60AE">
      <w:pPr>
        <w:pStyle w:val="Heading2"/>
        <w:ind w:left="567" w:hanging="567"/>
      </w:pPr>
      <w:r>
        <w:t>Antagande av den gemensamma handlingsplanen mellan Europeiska regionkommittén och GD Forskning och innovation, gemensamma forskningscentrumet och GD Utbildning, ungdom, idrott och kultur</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Antagande av arbetsplanen för plattformen för kunskapsutbyte (KEP) 2020–2021</w:t>
      </w:r>
    </w:p>
    <w:p w:rsidR="00A84128" w:rsidRDefault="00A84128" w:rsidP="00DC60AE">
      <w:pPr>
        <w:rPr>
          <w:lang w:val="en-GB"/>
        </w:rPr>
      </w:pPr>
    </w:p>
    <w:p w:rsidR="00A84128" w:rsidRPr="00A84128" w:rsidRDefault="00A84128" w:rsidP="00DC60AE">
      <w:pPr>
        <w:pStyle w:val="Heading2"/>
        <w:ind w:left="567" w:hanging="567"/>
      </w:pPr>
      <w:r>
        <w:t>Antagande av det förstärkta samarbetet mellan Europeiska regionkommittén och GD Sysselsättning, socialpolitik och inkludering</w:t>
      </w:r>
    </w:p>
    <w:p w:rsidR="004A5F7F" w:rsidRPr="00FB6F14" w:rsidRDefault="004A5F7F" w:rsidP="00FB6F14">
      <w:pPr>
        <w:spacing w:line="240" w:lineRule="auto"/>
        <w:rPr>
          <w:lang w:val="en-GB"/>
        </w:rPr>
      </w:pPr>
    </w:p>
    <w:p w:rsidR="004A5F7F" w:rsidRPr="00FB6F14" w:rsidRDefault="00651A76" w:rsidP="00207F2A">
      <w:pPr>
        <w:ind w:left="567"/>
      </w:pPr>
      <w:r>
        <w:t>För diskussion:</w:t>
      </w:r>
    </w:p>
    <w:p w:rsidR="004A5F7F" w:rsidRPr="00FB6F14" w:rsidRDefault="004A5F7F" w:rsidP="00FB6F14">
      <w:pPr>
        <w:spacing w:line="240" w:lineRule="auto"/>
        <w:rPr>
          <w:lang w:val="en-GB"/>
        </w:rPr>
      </w:pPr>
    </w:p>
    <w:p w:rsidR="004A5F7F" w:rsidRDefault="00651A76" w:rsidP="00FE5581">
      <w:pPr>
        <w:pStyle w:val="Heading2"/>
        <w:ind w:left="567" w:hanging="567"/>
      </w:pPr>
      <w:r>
        <w:t>Uppföljning av yttranden</w:t>
      </w:r>
    </w:p>
    <w:p w:rsidR="00391076" w:rsidRDefault="00391076" w:rsidP="000F0406">
      <w:pPr>
        <w:ind w:left="567"/>
        <w:rPr>
          <w:lang w:val="en-GB"/>
        </w:rPr>
      </w:pPr>
    </w:p>
    <w:p w:rsidR="00391076" w:rsidRPr="000F0406" w:rsidRDefault="00391076" w:rsidP="000F0406">
      <w:pPr>
        <w:pStyle w:val="Heading1"/>
        <w:rPr>
          <w:b/>
        </w:rPr>
      </w:pPr>
      <w:r>
        <w:rPr>
          <w:b/>
        </w:rPr>
        <w:t>Diskussion med Joost Korte, generaldirektör för generaldirektoratet för sysselsättning, socialpolitik och inkludering (GD EMPL)</w:t>
      </w:r>
    </w:p>
    <w:p w:rsidR="004A5F7F" w:rsidRPr="00FB6F14" w:rsidRDefault="004A5F7F" w:rsidP="00161747">
      <w:pPr>
        <w:keepNext/>
        <w:keepLines/>
        <w:rPr>
          <w:lang w:val="en-GB"/>
        </w:rPr>
      </w:pPr>
    </w:p>
    <w:p w:rsidR="004A5F7F" w:rsidRPr="00FB6F14" w:rsidRDefault="00651A76" w:rsidP="00161747">
      <w:pPr>
        <w:pStyle w:val="Heading1"/>
        <w:keepNext/>
        <w:keepLines/>
        <w:rPr>
          <w:b/>
        </w:rPr>
      </w:pPr>
      <w:r>
        <w:rPr>
          <w:b/>
        </w:rPr>
        <w:t>Yttranden – första diskussion och antagande</w:t>
      </w:r>
    </w:p>
    <w:p w:rsidR="000424D2" w:rsidRPr="00FB6F14" w:rsidRDefault="000424D2" w:rsidP="00161747">
      <w:pPr>
        <w:keepNext/>
        <w:keepLines/>
      </w:pPr>
    </w:p>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161747">
            <w:pPr>
              <w:pStyle w:val="Heading2"/>
              <w:keepNext/>
              <w:keepLines/>
              <w:spacing w:line="276" w:lineRule="auto"/>
              <w:rPr>
                <w:lang w:val="en-GB"/>
              </w:rPr>
            </w:pPr>
          </w:p>
        </w:tc>
        <w:tc>
          <w:tcPr>
            <w:tcW w:w="2835" w:type="dxa"/>
            <w:shd w:val="clear" w:color="auto" w:fill="FFFFFF"/>
          </w:tcPr>
          <w:p w:rsidR="004A5F7F" w:rsidRPr="00FB6F14" w:rsidRDefault="00651A76" w:rsidP="00161747">
            <w:pPr>
              <w:keepNext/>
              <w:keepLines/>
              <w:spacing w:line="276" w:lineRule="auto"/>
            </w:pPr>
            <w:r>
              <w:t>Titel</w:t>
            </w:r>
          </w:p>
        </w:tc>
        <w:tc>
          <w:tcPr>
            <w:tcW w:w="5722" w:type="dxa"/>
            <w:shd w:val="clear" w:color="auto" w:fill="FFFFFF"/>
          </w:tcPr>
          <w:p w:rsidR="004A5F7F" w:rsidRPr="00FB6F14" w:rsidRDefault="00651A76" w:rsidP="00161747">
            <w:pPr>
              <w:keepNext/>
              <w:keepLines/>
              <w:spacing w:line="276" w:lineRule="auto"/>
            </w:pPr>
            <w:r>
              <w:rPr>
                <w:b/>
                <w:bCs/>
              </w:rPr>
              <w:t>Den europeiska kompetensagendan för hållbar konkurrenskraft, social rättvisa och motståndskraft</w:t>
            </w:r>
          </w:p>
        </w:tc>
      </w:tr>
      <w:tr w:rsidR="00651A66" w:rsidTr="000F0406">
        <w:trPr>
          <w:jc w:val="center"/>
        </w:trPr>
        <w:tc>
          <w:tcPr>
            <w:tcW w:w="618" w:type="dxa"/>
            <w:shd w:val="clear" w:color="auto" w:fill="FFFFFF"/>
            <w:vAlign w:val="center"/>
          </w:tcPr>
          <w:p w:rsidR="004A5F7F" w:rsidRPr="00FB6F14" w:rsidRDefault="004A5F7F" w:rsidP="00161747">
            <w:pPr>
              <w:keepNext/>
              <w:keepLines/>
              <w:spacing w:line="276" w:lineRule="auto"/>
              <w:rPr>
                <w:sz w:val="24"/>
                <w:szCs w:val="24"/>
                <w:lang w:val="en-GB"/>
              </w:rPr>
            </w:pPr>
          </w:p>
        </w:tc>
        <w:tc>
          <w:tcPr>
            <w:tcW w:w="2835" w:type="dxa"/>
            <w:shd w:val="clear" w:color="auto" w:fill="FFFFFF"/>
          </w:tcPr>
          <w:p w:rsidR="004A5F7F" w:rsidRPr="00FB6F14" w:rsidRDefault="00651A76" w:rsidP="00161747">
            <w:pPr>
              <w:keepNext/>
              <w:keepLines/>
              <w:spacing w:line="276" w:lineRule="auto"/>
            </w:pPr>
            <w:r>
              <w:t>Föredragande</w:t>
            </w:r>
          </w:p>
        </w:tc>
        <w:tc>
          <w:tcPr>
            <w:tcW w:w="5722" w:type="dxa"/>
            <w:shd w:val="clear" w:color="auto" w:fill="FFFFFF"/>
          </w:tcPr>
          <w:p w:rsidR="004A5F7F" w:rsidRPr="00FB6F14" w:rsidRDefault="00651A76" w:rsidP="00161747">
            <w:pPr>
              <w:keepNext/>
              <w:keepLines/>
              <w:spacing w:line="276" w:lineRule="auto"/>
            </w:pPr>
            <w:r>
              <w:rPr>
                <w:b/>
                <w:bCs/>
              </w:rPr>
              <w:t>Csaba Borboly (RO–EPP)</w:t>
            </w:r>
          </w:p>
        </w:tc>
      </w:tr>
      <w:tr w:rsidR="00651A66" w:rsidTr="000F0406">
        <w:trPr>
          <w:jc w:val="center"/>
        </w:trPr>
        <w:tc>
          <w:tcPr>
            <w:tcW w:w="618" w:type="dxa"/>
            <w:shd w:val="clear" w:color="auto" w:fill="FFFFFF"/>
            <w:vAlign w:val="center"/>
          </w:tcPr>
          <w:p w:rsidR="004A5F7F" w:rsidRPr="00FB6F14" w:rsidRDefault="004A5F7F" w:rsidP="00161747">
            <w:pPr>
              <w:keepNext/>
              <w:keepLines/>
              <w:spacing w:line="276" w:lineRule="auto"/>
              <w:rPr>
                <w:sz w:val="24"/>
                <w:szCs w:val="24"/>
                <w:lang w:val="en-GB"/>
              </w:rPr>
            </w:pPr>
          </w:p>
        </w:tc>
        <w:tc>
          <w:tcPr>
            <w:tcW w:w="2835" w:type="dxa"/>
            <w:shd w:val="clear" w:color="auto" w:fill="FFFFFF"/>
          </w:tcPr>
          <w:p w:rsidR="004A5F7F" w:rsidRPr="00FB6F14" w:rsidRDefault="00651A76" w:rsidP="00161747">
            <w:pPr>
              <w:keepNext/>
              <w:keepLines/>
              <w:spacing w:line="276" w:lineRule="auto"/>
            </w:pPr>
            <w:r>
              <w:t>Kommissionsdokument</w:t>
            </w:r>
          </w:p>
        </w:tc>
        <w:tc>
          <w:tcPr>
            <w:tcW w:w="5722" w:type="dxa"/>
            <w:shd w:val="clear" w:color="auto" w:fill="FFFFFF"/>
          </w:tcPr>
          <w:p w:rsidR="004A5F7F" w:rsidRPr="00FB6F14" w:rsidRDefault="00E07A47" w:rsidP="00161747">
            <w:pPr>
              <w:keepNext/>
              <w:keepLines/>
              <w:spacing w:line="276" w:lineRule="auto"/>
            </w:pPr>
            <w:r>
              <w:t>Meddelande från kommissionen till Europaparlamentet, rådet, Europeiska ekonomiska och sociala kommittén samt Regionkommittén – Den europeiska kompetensagendan för hållbar konkurrenskraft, social rättvisa och motståndskraft</w:t>
            </w:r>
          </w:p>
          <w:p w:rsidR="004A5F7F" w:rsidRPr="00FB6F14" w:rsidRDefault="00651A76" w:rsidP="00161747">
            <w:pPr>
              <w:keepNext/>
              <w:keepLines/>
              <w:spacing w:line="276" w:lineRule="auto"/>
            </w:pPr>
            <w:r>
              <w:t>COM(2020) 274 – final</w:t>
            </w:r>
          </w:p>
          <w:p w:rsidR="004A5F7F" w:rsidRPr="00FB6F14" w:rsidRDefault="004A5F7F" w:rsidP="00161747">
            <w:pPr>
              <w:keepNext/>
              <w:keepLines/>
              <w:spacing w:line="240" w:lineRule="auto"/>
              <w:rPr>
                <w:lang w:val="en-GB"/>
              </w:rPr>
            </w:pPr>
          </w:p>
          <w:p w:rsidR="004A5F7F" w:rsidRPr="00FB6F14" w:rsidRDefault="00651A76" w:rsidP="00161747">
            <w:pPr>
              <w:keepNext/>
              <w:keepLines/>
              <w:spacing w:line="276" w:lineRule="auto"/>
            </w:pPr>
            <w:r>
              <w:t>Förslag till rådets rekommendation om yrkesutbildning för hållbar konkurrenskraft, social rättvisa och motståndskraft</w:t>
            </w:r>
          </w:p>
          <w:p w:rsidR="004A5F7F" w:rsidRPr="00FB6F14" w:rsidRDefault="00651A76" w:rsidP="00161747">
            <w:pPr>
              <w:keepNext/>
              <w:keepLines/>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Typ av yttrande</w:t>
            </w:r>
          </w:p>
        </w:tc>
        <w:tc>
          <w:tcPr>
            <w:tcW w:w="5722" w:type="dxa"/>
            <w:shd w:val="clear" w:color="auto" w:fill="FFFFFF"/>
          </w:tcPr>
          <w:p w:rsidR="004A5F7F" w:rsidRPr="00FB6F14" w:rsidRDefault="00651A76" w:rsidP="00FB6F14">
            <w:pPr>
              <w:spacing w:line="276" w:lineRule="auto"/>
            </w:pPr>
            <w:r>
              <w:t>På eget initiativ</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Ärende</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Anförande av</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Antagande i utskottet (planerat till)</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Antagande vid plenarsessionen planerat till</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(bekräftas senare)</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Titel</w:t>
            </w:r>
          </w:p>
        </w:tc>
        <w:tc>
          <w:tcPr>
            <w:tcW w:w="5728" w:type="dxa"/>
            <w:shd w:val="clear" w:color="auto" w:fill="FFFFFF"/>
          </w:tcPr>
          <w:p w:rsidR="004A5F7F" w:rsidRPr="000F0406" w:rsidRDefault="00651A76" w:rsidP="00FB6F14">
            <w:pPr>
              <w:spacing w:line="276" w:lineRule="auto"/>
              <w:rPr>
                <w:b/>
              </w:rPr>
            </w:pPr>
            <w:r>
              <w:rPr>
                <w:b/>
              </w:rPr>
              <w:t>Stöd till ungdomssysselsättning: en väg till jobb för nästa generation genom en förstärkt ungdomsgaranti</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Föredragande</w:t>
            </w:r>
          </w:p>
        </w:tc>
        <w:tc>
          <w:tcPr>
            <w:tcW w:w="5728" w:type="dxa"/>
            <w:shd w:val="clear" w:color="auto" w:fill="FFFFFF"/>
          </w:tcPr>
          <w:p w:rsidR="004A5F7F" w:rsidRPr="00FB6F14" w:rsidRDefault="00651A76" w:rsidP="00FB6F14">
            <w:pPr>
              <w:spacing w:line="276" w:lineRule="auto"/>
            </w:pPr>
            <w:r>
              <w:rPr>
                <w:b/>
                <w:bCs/>
              </w:rPr>
              <w:t>Romy Karier (LU–EPP)</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Kommissionsdokument</w:t>
            </w:r>
          </w:p>
        </w:tc>
        <w:tc>
          <w:tcPr>
            <w:tcW w:w="5728" w:type="dxa"/>
            <w:shd w:val="clear" w:color="auto" w:fill="FFFFFF"/>
          </w:tcPr>
          <w:p w:rsidR="004A5F7F" w:rsidRPr="00FB6F14" w:rsidRDefault="00E07A47" w:rsidP="00FB6F14">
            <w:pPr>
              <w:spacing w:line="276" w:lineRule="auto"/>
            </w:pPr>
            <w:r>
              <w:t>Meddelande från kommissionen till Europaparlamentet, rådet, Europeiska ekonomiska och sociala kommittén samt Regionkommittén – Stöd till ungdomssysselsättning: en väg till jobb för nästa generation</w:t>
            </w:r>
          </w:p>
          <w:p w:rsidR="004A5F7F" w:rsidRPr="00FB6F14" w:rsidRDefault="00651A76" w:rsidP="00FB6F14">
            <w:pPr>
              <w:spacing w:line="276" w:lineRule="auto"/>
            </w:pPr>
            <w:r>
              <w:t>COM(2020) 276 – final</w:t>
            </w:r>
          </w:p>
          <w:p w:rsidR="004A5F7F" w:rsidRPr="00FB6F14" w:rsidRDefault="00651A76" w:rsidP="00FB6F14">
            <w:pPr>
              <w:spacing w:line="276" w:lineRule="auto"/>
            </w:pPr>
            <w:r>
              <w:t>Förslag till rådets rekommendation om en väg till jobb – en förstärkt ungdomsgaranti och om ersättande av rådets rekommendation av den 22 april 2013 om att inrätta en ungdomsgaranti</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Typ av yttrande</w:t>
            </w:r>
          </w:p>
        </w:tc>
        <w:tc>
          <w:tcPr>
            <w:tcW w:w="5728" w:type="dxa"/>
            <w:shd w:val="clear" w:color="auto" w:fill="FFFFFF"/>
          </w:tcPr>
          <w:p w:rsidR="004A5F7F" w:rsidRPr="00FB6F14" w:rsidRDefault="00651A76" w:rsidP="00FB6F14">
            <w:pPr>
              <w:spacing w:line="276" w:lineRule="auto"/>
            </w:pPr>
            <w:r>
              <w:t>På eget initiativ</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Ärende</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Anförande av</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Antagande i utskottet (planerat till)</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Antagande vid plenarsessionen planerat till</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(bekräftas senare)</w:t>
            </w:r>
          </w:p>
        </w:tc>
      </w:tr>
    </w:tbl>
    <w:p w:rsidR="004A5F7F" w:rsidRPr="00161747" w:rsidRDefault="004A5F7F" w:rsidP="00161747">
      <w:pPr>
        <w:pStyle w:val="TitleStyle"/>
        <w:widowControl/>
        <w:spacing w:line="288" w:lineRule="auto"/>
        <w:jc w:val="left"/>
        <w:rPr>
          <w:b w:val="0"/>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161747">
            <w:pPr>
              <w:pStyle w:val="Heading2"/>
              <w:keepNext/>
              <w:keepLines/>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161747">
            <w:pPr>
              <w:keepNext/>
              <w:keepLines/>
              <w:spacing w:line="276" w:lineRule="auto"/>
            </w:pPr>
            <w:r>
              <w:t>Titel</w:t>
            </w:r>
          </w:p>
        </w:tc>
        <w:tc>
          <w:tcPr>
            <w:tcW w:w="5697" w:type="dxa"/>
            <w:tcBorders>
              <w:top w:val="nil"/>
              <w:left w:val="nil"/>
              <w:bottom w:val="nil"/>
              <w:right w:val="nil"/>
            </w:tcBorders>
            <w:shd w:val="clear" w:color="auto" w:fill="FFFFFF"/>
          </w:tcPr>
          <w:p w:rsidR="004A5F7F" w:rsidRPr="00FB6F14" w:rsidRDefault="00651A76" w:rsidP="00161747">
            <w:pPr>
              <w:keepNext/>
              <w:keepLines/>
              <w:spacing w:line="276" w:lineRule="auto"/>
            </w:pPr>
            <w:r>
              <w:rPr>
                <w:b/>
                <w:bCs/>
              </w:rPr>
              <w:t>En nystart för de kulturella och kreativa sektorerna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161747">
            <w:pPr>
              <w:keepNext/>
              <w:keepLines/>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161747">
            <w:pPr>
              <w:keepNext/>
              <w:keepLines/>
              <w:spacing w:line="276" w:lineRule="auto"/>
            </w:pPr>
            <w:r>
              <w:t>Föredragande</w:t>
            </w:r>
          </w:p>
        </w:tc>
        <w:tc>
          <w:tcPr>
            <w:tcW w:w="5697" w:type="dxa"/>
            <w:tcBorders>
              <w:top w:val="nil"/>
              <w:left w:val="nil"/>
              <w:bottom w:val="nil"/>
              <w:right w:val="nil"/>
            </w:tcBorders>
            <w:shd w:val="clear" w:color="auto" w:fill="FFFFFF"/>
          </w:tcPr>
          <w:p w:rsidR="004A5F7F" w:rsidRPr="00FB6F14" w:rsidRDefault="00651A76" w:rsidP="00161747">
            <w:pPr>
              <w:keepNext/>
              <w:keepLines/>
              <w:spacing w:line="276" w:lineRule="auto"/>
            </w:pPr>
            <w:r>
              <w:rPr>
                <w:b/>
                <w:bCs/>
              </w:rPr>
              <w:t>Giuseppe Varacalli (IT–Renew)</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161747">
            <w:pPr>
              <w:keepNext/>
              <w:keepLines/>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161747">
            <w:pPr>
              <w:keepNext/>
              <w:keepLines/>
              <w:spacing w:line="276" w:lineRule="auto"/>
            </w:pPr>
            <w:r>
              <w:t>Kommissionsdokument</w:t>
            </w:r>
          </w:p>
        </w:tc>
        <w:tc>
          <w:tcPr>
            <w:tcW w:w="5697" w:type="dxa"/>
            <w:tcBorders>
              <w:top w:val="nil"/>
              <w:left w:val="nil"/>
              <w:bottom w:val="nil"/>
              <w:right w:val="nil"/>
            </w:tcBorders>
            <w:shd w:val="clear" w:color="auto" w:fill="FFFFFF"/>
          </w:tcPr>
          <w:p w:rsidR="004A5F7F" w:rsidRPr="00FB6F14" w:rsidRDefault="00651A76" w:rsidP="00161747">
            <w:pPr>
              <w:keepNext/>
              <w:keepLines/>
              <w:spacing w:line="276" w:lineRule="auto"/>
            </w:pPr>
            <w:r>
              <w:t>Ej tillämpligt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161747">
            <w:pPr>
              <w:keepNext/>
              <w:keepLines/>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161747">
            <w:pPr>
              <w:keepNext/>
              <w:keepLines/>
              <w:spacing w:line="276" w:lineRule="auto"/>
            </w:pPr>
            <w:r>
              <w:t xml:space="preserve">Dokument </w:t>
            </w:r>
          </w:p>
        </w:tc>
        <w:tc>
          <w:tcPr>
            <w:tcW w:w="5697" w:type="dxa"/>
            <w:tcBorders>
              <w:top w:val="nil"/>
              <w:left w:val="nil"/>
              <w:bottom w:val="nil"/>
              <w:right w:val="nil"/>
            </w:tcBorders>
            <w:shd w:val="clear" w:color="auto" w:fill="FFFFFF"/>
          </w:tcPr>
          <w:p w:rsidR="009B3777" w:rsidRPr="00FB6F14" w:rsidRDefault="009B3777" w:rsidP="00161747">
            <w:pPr>
              <w:keepNext/>
              <w:keepLines/>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161747">
            <w:pPr>
              <w:keepNext/>
              <w:keepLines/>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161747">
            <w:pPr>
              <w:keepNext/>
              <w:keepLines/>
              <w:spacing w:line="276" w:lineRule="auto"/>
            </w:pPr>
            <w:r>
              <w:t>Typ av yttrande</w:t>
            </w:r>
          </w:p>
        </w:tc>
        <w:tc>
          <w:tcPr>
            <w:tcW w:w="5697" w:type="dxa"/>
            <w:tcBorders>
              <w:top w:val="nil"/>
              <w:left w:val="nil"/>
              <w:bottom w:val="nil"/>
              <w:right w:val="nil"/>
            </w:tcBorders>
            <w:shd w:val="clear" w:color="auto" w:fill="FFFFFF"/>
          </w:tcPr>
          <w:p w:rsidR="004A5F7F" w:rsidRPr="00FB6F14" w:rsidRDefault="00651A76" w:rsidP="00161747">
            <w:pPr>
              <w:keepNext/>
              <w:keepLines/>
              <w:spacing w:line="276" w:lineRule="auto"/>
            </w:pPr>
            <w:r>
              <w:t>På eget initiativ</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Ärende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Anförande av</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Antagande i utskottet (planerat till)</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Antagande vid plenarsessionen planerat till</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3–4/02/2021 (bekräftas senare)</w:t>
            </w:r>
          </w:p>
        </w:tc>
      </w:tr>
    </w:tbl>
    <w:p w:rsidR="007D2DBA" w:rsidRPr="00161747" w:rsidRDefault="007D2DBA" w:rsidP="00161747">
      <w:pPr>
        <w:pStyle w:val="TitleStyle"/>
        <w:widowControl/>
        <w:spacing w:line="288" w:lineRule="auto"/>
        <w:jc w:val="left"/>
        <w:rPr>
          <w:b w:val="0"/>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En ny era för det europeiska forskningsområdet</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Föredragande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Kommissionsdokument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Meddelande från kommissionen till Europaparlamentet, rådet, Europeiska ekonomiska och sociala kommittén samt Regionkommittén – En ny era för det europeiska forskningsområdet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Typ av yttrande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På eget initiativ</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Ärende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Anförande av</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Antagande i utskottet (planerat till)</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Antagande vid plenarsessionen planerat till</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(bekräftas senare)</w:t>
            </w:r>
          </w:p>
        </w:tc>
      </w:tr>
    </w:tbl>
    <w:p w:rsidR="00C443A3" w:rsidRPr="00161747" w:rsidRDefault="00C443A3" w:rsidP="00FB6F14">
      <w:pPr>
        <w:pStyle w:val="TitleStyle"/>
        <w:widowControl/>
        <w:spacing w:line="288" w:lineRule="auto"/>
        <w:jc w:val="left"/>
        <w:rPr>
          <w:b w:val="0"/>
          <w:sz w:val="18"/>
          <w:szCs w:val="18"/>
        </w:rPr>
      </w:pPr>
    </w:p>
    <w:p w:rsidR="004A5F7F" w:rsidRPr="00FB6F14" w:rsidRDefault="00651A76" w:rsidP="00FB6F14">
      <w:pPr>
        <w:pStyle w:val="Heading1"/>
      </w:pPr>
      <w:r>
        <w:rPr>
          <w:b/>
        </w:rPr>
        <w:t>Yttranden – utbyte av synpunkter</w:t>
      </w:r>
    </w:p>
    <w:p w:rsidR="00E07A47" w:rsidRPr="00161747" w:rsidRDefault="00E07A47" w:rsidP="00FB6F14">
      <w:pPr>
        <w:pStyle w:val="TitleStyle"/>
        <w:widowControl/>
        <w:spacing w:line="288" w:lineRule="auto"/>
        <w:jc w:val="left"/>
        <w:rPr>
          <w:b w:val="0"/>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En jämlikhetsunion: EU:s handlingsplan mot rasism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Föredragande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Kommissionsdokument</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Meddelande från kommissionen till Europaparlamentet, rådet, Europeiska ekonomiska och sociala kommittén samt Regionkommittén – En jämlikhetsunion: EU:s handlingsplan mot rasism 2020–2025</w:t>
            </w:r>
          </w:p>
          <w:p w:rsidR="00272F64" w:rsidRPr="00FB6F14" w:rsidRDefault="00651A76" w:rsidP="00FB6F14">
            <w:pPr>
              <w:spacing w:line="276" w:lineRule="auto"/>
            </w:pPr>
            <w:r>
              <w:t>COM(2020) 565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Typ av yttrande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På eget initiativ</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Ärende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Anförande av</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Antagande i utskottet (planerat till)</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Antagande vid plenarsessionen planerat till</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Handlingsplan för digital utbildning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Föredragande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Kommissionsdokument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Meddelande från kommissionen till Europaparlamentet, rådet, Europeiska ekonomiska och sociala kommittén samt Regionkommittén – Handlingsplan för digital utbildning 2021–2027 Ställa om utbildningen till den digitala tidsåldern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Typ av yttrande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På eget initiativ</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Ärende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Anförande av</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Antagande i utskottet (planerat till)</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Antagande vid plenarsessionen planerat till</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Titel</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Att förverkliga det europeiska området för utbildning senast 2025</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Föredragande</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(RO–EPP)</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Kommissionsdokument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Meddelande från kommissionen till Europaparlamentet, rådet, Europeiska ekonomiska och sociala kommittén samt Regionkommittén om att förverkliga det europeiska området för utbildning senast 2025</w:t>
            </w:r>
          </w:p>
          <w:p w:rsidR="00272F64" w:rsidRPr="00FB6F14" w:rsidRDefault="00272F64" w:rsidP="00FB6F14">
            <w:pPr>
              <w:spacing w:line="276" w:lineRule="auto"/>
            </w:pPr>
            <w:r>
              <w:t>COM(2020) 625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Typ av yttrande</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På eget initiativ</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Ärende</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Anförande av</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Antagande i utskottet (planerat till)</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Första diskussion om SEDEC-utskottets arbetsprogram för 2021</w:t>
      </w:r>
    </w:p>
    <w:p w:rsidR="004A5F7F" w:rsidRPr="00827F78" w:rsidRDefault="004A5F7F" w:rsidP="00FB6F14">
      <w:pPr>
        <w:jc w:val="left"/>
        <w:rPr>
          <w:b/>
          <w:bCs/>
        </w:rPr>
      </w:pPr>
    </w:p>
    <w:p w:rsidR="00A84128" w:rsidRDefault="00A84128" w:rsidP="00FB6F14">
      <w:pPr>
        <w:pStyle w:val="Heading1"/>
        <w:rPr>
          <w:b/>
        </w:rPr>
      </w:pPr>
      <w:r>
        <w:rPr>
          <w:b/>
        </w:rPr>
        <w:t>Presentation av projektet ”Mind the Digital Gap” av ReK:s praktikanters [Y]Factor-team</w:t>
      </w:r>
    </w:p>
    <w:p w:rsidR="00A84128" w:rsidRPr="00DC60AE" w:rsidRDefault="00A84128" w:rsidP="00DC60AE">
      <w:pPr>
        <w:rPr>
          <w:lang w:val="en-GB"/>
        </w:rPr>
      </w:pPr>
    </w:p>
    <w:p w:rsidR="00A84128" w:rsidRDefault="00A84128" w:rsidP="00FB6F14">
      <w:pPr>
        <w:pStyle w:val="Heading1"/>
        <w:rPr>
          <w:b/>
        </w:rPr>
      </w:pPr>
      <w:r>
        <w:rPr>
          <w:b/>
        </w:rPr>
        <w:t>Debatt</w:t>
      </w:r>
    </w:p>
    <w:p w:rsidR="00A84128" w:rsidRPr="00DC60AE" w:rsidRDefault="00A84128" w:rsidP="00DC60AE">
      <w:pPr>
        <w:rPr>
          <w:lang w:val="en-GB"/>
        </w:rPr>
      </w:pPr>
    </w:p>
    <w:p w:rsidR="004A5F7F" w:rsidRPr="00FB6F14" w:rsidRDefault="00651A76" w:rsidP="00FB6F14">
      <w:pPr>
        <w:pStyle w:val="Heading1"/>
        <w:rPr>
          <w:b/>
        </w:rPr>
      </w:pPr>
      <w:r>
        <w:rPr>
          <w:b/>
        </w:rPr>
        <w:t>Övriga frågor</w:t>
      </w:r>
    </w:p>
    <w:p w:rsidR="004A5F7F" w:rsidRPr="00FB6F14" w:rsidRDefault="004A5F7F" w:rsidP="00FB6F14">
      <w:pPr>
        <w:rPr>
          <w:lang w:val="en-GB"/>
        </w:rPr>
      </w:pPr>
    </w:p>
    <w:p w:rsidR="004A5F7F" w:rsidRPr="00FB6F14" w:rsidRDefault="00651A76" w:rsidP="00FB6F14">
      <w:pPr>
        <w:pStyle w:val="Heading1"/>
        <w:rPr>
          <w:b/>
        </w:rPr>
      </w:pPr>
      <w:r>
        <w:rPr>
          <w:b/>
        </w:rPr>
        <w:t>Datum för nästa sammanträde: 17 februari 2021</w:t>
      </w:r>
    </w:p>
    <w:p w:rsidR="004A5F7F" w:rsidRPr="00FB6F14" w:rsidRDefault="004A5F7F" w:rsidP="00FB6F14">
      <w:pPr>
        <w:rPr>
          <w:lang w:val="en-GB"/>
        </w:rPr>
      </w:pPr>
    </w:p>
    <w:p w:rsidR="004A5F7F" w:rsidRPr="00FB6F14" w:rsidRDefault="00651A76" w:rsidP="00207F2A">
      <w:pPr>
        <w:ind w:left="567"/>
        <w:rPr>
          <w:b/>
          <w:bCs/>
        </w:rPr>
      </w:pPr>
      <w:r>
        <w:rPr>
          <w:b/>
          <w:bCs/>
        </w:rPr>
        <w:t>Sammanträdet avslutas</w:t>
      </w:r>
    </w:p>
    <w:p w:rsidR="004A5F7F" w:rsidRPr="00FB6F14" w:rsidRDefault="004A5F7F" w:rsidP="00FB6F14">
      <w:pPr>
        <w:rPr>
          <w:lang w:val="en-GB"/>
        </w:rPr>
      </w:pPr>
    </w:p>
    <w:p w:rsidR="004A5F7F" w:rsidRPr="00FB6F14" w:rsidRDefault="004A5F7F" w:rsidP="00161747">
      <w:pPr>
        <w:keepNext/>
        <w:keepLines/>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161747">
            <w:pPr>
              <w:keepNext/>
              <w:keepLines/>
            </w:pPr>
            <w:r>
              <w:rPr>
                <w:b/>
                <w:bCs/>
              </w:rPr>
              <w:t>Arbetsspråk:</w:t>
            </w:r>
          </w:p>
        </w:tc>
        <w:tc>
          <w:tcPr>
            <w:tcW w:w="907" w:type="dxa"/>
            <w:tcBorders>
              <w:top w:val="nil"/>
              <w:left w:val="nil"/>
              <w:bottom w:val="nil"/>
              <w:right w:val="nil"/>
            </w:tcBorders>
            <w:shd w:val="clear" w:color="auto" w:fill="FFFFFF"/>
          </w:tcPr>
          <w:p w:rsidR="004A5F7F" w:rsidRPr="00FB6F14" w:rsidRDefault="00651A76" w:rsidP="00161747">
            <w:pPr>
              <w:keepNext/>
              <w:keepLines/>
              <w:jc w:val="center"/>
            </w:pPr>
            <w:r>
              <w:rPr>
                <w:b/>
                <w:bCs/>
              </w:rPr>
              <w:t>23</w:t>
            </w:r>
          </w:p>
        </w:tc>
        <w:tc>
          <w:tcPr>
            <w:tcW w:w="5443" w:type="dxa"/>
            <w:tcBorders>
              <w:top w:val="nil"/>
              <w:left w:val="nil"/>
              <w:bottom w:val="nil"/>
              <w:right w:val="nil"/>
            </w:tcBorders>
            <w:shd w:val="clear" w:color="auto" w:fill="FFFFFF"/>
          </w:tcPr>
          <w:p w:rsidR="004A5F7F" w:rsidRPr="00FB6F14" w:rsidRDefault="00651A76" w:rsidP="00161747">
            <w:pPr>
              <w:keepNext/>
              <w:keepLines/>
            </w:pPr>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161747">
            <w:pPr>
              <w:keepNext/>
              <w:keepLines/>
              <w:rPr>
                <w:b/>
                <w:bCs/>
              </w:rPr>
            </w:pPr>
            <w:r>
              <w:rPr>
                <w:b/>
                <w:bCs/>
              </w:rPr>
              <w:t>Tolkning:</w:t>
            </w:r>
          </w:p>
          <w:p w:rsidR="004A5F7F" w:rsidRPr="00FB6F14" w:rsidRDefault="00651A76" w:rsidP="00161747">
            <w:pPr>
              <w:keepNext/>
              <w:keepLines/>
            </w:pPr>
            <w:r>
              <w:t>från</w:t>
            </w:r>
          </w:p>
        </w:tc>
        <w:tc>
          <w:tcPr>
            <w:tcW w:w="907" w:type="dxa"/>
            <w:tcBorders>
              <w:top w:val="nil"/>
              <w:left w:val="nil"/>
              <w:bottom w:val="nil"/>
              <w:right w:val="nil"/>
            </w:tcBorders>
            <w:shd w:val="clear" w:color="auto" w:fill="FFFFFF"/>
          </w:tcPr>
          <w:p w:rsidR="004A5F7F" w:rsidRPr="00FB6F14" w:rsidRDefault="00EA2481" w:rsidP="00161747">
            <w:pPr>
              <w:keepNext/>
              <w:keepLines/>
              <w:jc w:val="center"/>
            </w:pPr>
            <w:r>
              <w:rPr>
                <w:b/>
                <w:bCs/>
              </w:rPr>
              <w:t>9</w:t>
            </w:r>
          </w:p>
        </w:tc>
        <w:tc>
          <w:tcPr>
            <w:tcW w:w="5443" w:type="dxa"/>
            <w:tcBorders>
              <w:top w:val="nil"/>
              <w:left w:val="nil"/>
              <w:bottom w:val="nil"/>
              <w:right w:val="nil"/>
            </w:tcBorders>
            <w:shd w:val="clear" w:color="auto" w:fill="FFFFFF"/>
          </w:tcPr>
          <w:p w:rsidR="004A5F7F" w:rsidRPr="00FB6F14" w:rsidRDefault="00EA2481" w:rsidP="00161747">
            <w:pPr>
              <w:keepNext/>
              <w:keepLines/>
            </w:pPr>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161747">
            <w:pPr>
              <w:keepNext/>
              <w:keepLines/>
            </w:pPr>
            <w:r>
              <w:t>till</w:t>
            </w:r>
          </w:p>
        </w:tc>
        <w:tc>
          <w:tcPr>
            <w:tcW w:w="907" w:type="dxa"/>
            <w:tcBorders>
              <w:top w:val="nil"/>
              <w:left w:val="nil"/>
              <w:bottom w:val="nil"/>
              <w:right w:val="nil"/>
            </w:tcBorders>
            <w:shd w:val="clear" w:color="auto" w:fill="FFFFFF"/>
          </w:tcPr>
          <w:p w:rsidR="004A5F7F" w:rsidRPr="00FB6F14" w:rsidRDefault="00EA2481" w:rsidP="00161747">
            <w:pPr>
              <w:keepNext/>
              <w:keepLines/>
              <w:jc w:val="center"/>
            </w:pPr>
            <w:r>
              <w:rPr>
                <w:b/>
                <w:bCs/>
              </w:rPr>
              <w:t>9</w:t>
            </w:r>
          </w:p>
        </w:tc>
        <w:tc>
          <w:tcPr>
            <w:tcW w:w="5443" w:type="dxa"/>
            <w:tcBorders>
              <w:top w:val="nil"/>
              <w:left w:val="nil"/>
              <w:bottom w:val="nil"/>
              <w:right w:val="nil"/>
            </w:tcBorders>
            <w:shd w:val="clear" w:color="auto" w:fill="FFFFFF"/>
          </w:tcPr>
          <w:p w:rsidR="004A5F7F" w:rsidRPr="00FB6F14" w:rsidRDefault="00EA2481" w:rsidP="00161747">
            <w:pPr>
              <w:keepNext/>
              <w:keepLines/>
            </w:pPr>
            <w:r>
              <w:t>ES/DE/EN/FR/IT/HU/PL/RO/SV</w:t>
            </w:r>
          </w:p>
        </w:tc>
      </w:tr>
    </w:tbl>
    <w:p w:rsidR="004A5F7F" w:rsidRPr="00827F78" w:rsidRDefault="004A5F7F" w:rsidP="00161747">
      <w:pPr>
        <w:pStyle w:val="TitleStyle"/>
        <w:keepNext/>
        <w:keepLines/>
        <w:widowControl/>
        <w:spacing w:line="288" w:lineRule="auto"/>
        <w:jc w:val="left"/>
        <w:rPr>
          <w:b w:val="0"/>
          <w:bCs w:val="0"/>
        </w:rPr>
      </w:pPr>
    </w:p>
    <w:p w:rsidR="004A5F7F" w:rsidRPr="000F0406" w:rsidRDefault="00651A76" w:rsidP="00161747">
      <w:pPr>
        <w:keepNext/>
        <w:keepLines/>
        <w:rPr>
          <w:b/>
          <w:bCs/>
        </w:rPr>
      </w:pPr>
      <w:r>
        <w:t xml:space="preserve">Ändringsförslag ska lämnas in via onlineverktyget (på ledamöternas portal: </w:t>
      </w:r>
      <w:hyperlink r:id="rId12" w:history="1">
        <w:r>
          <w:rPr>
            <w:rStyle w:val="Hyperlink"/>
          </w:rPr>
          <w:t>https://memportal.cor.europa.eu/</w:t>
        </w:r>
      </w:hyperlink>
      <w:r>
        <w:t>).</w:t>
      </w:r>
    </w:p>
    <w:p w:rsidR="004A5F7F" w:rsidRPr="00827F78" w:rsidRDefault="004A5F7F" w:rsidP="00161747">
      <w:pPr>
        <w:pStyle w:val="TitleStyle"/>
        <w:keepNext/>
        <w:keepLines/>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161747">
            <w:pPr>
              <w:keepNext/>
              <w:keepLines/>
              <w:jc w:val="left"/>
              <w:rPr>
                <w:b/>
                <w:bCs/>
              </w:rPr>
            </w:pPr>
            <w:r>
              <w:t>OBS!</w:t>
            </w:r>
          </w:p>
        </w:tc>
        <w:tc>
          <w:tcPr>
            <w:tcW w:w="8165" w:type="dxa"/>
            <w:tcBorders>
              <w:top w:val="nil"/>
              <w:left w:val="nil"/>
              <w:bottom w:val="nil"/>
              <w:right w:val="nil"/>
            </w:tcBorders>
            <w:shd w:val="clear" w:color="auto" w:fill="FFFFFF"/>
            <w:vAlign w:val="center"/>
          </w:tcPr>
          <w:p w:rsidR="004A5F7F" w:rsidRPr="000F0406" w:rsidRDefault="00651A76" w:rsidP="00161747">
            <w:pPr>
              <w:keepNext/>
              <w:keepLines/>
              <w:rPr>
                <w:b/>
                <w:color w:val="000000"/>
              </w:rPr>
            </w:pPr>
            <w:r>
              <w:rPr>
                <w:b/>
                <w:color w:val="000000"/>
              </w:rPr>
              <w:t>Endast medlemmar i utskottet och de suppleanter som har utsetts till företrädare för en ordinarie medlem har rätt till resekostnadsersättning och traktamente.</w:t>
            </w:r>
          </w:p>
          <w:p w:rsidR="004A5F7F" w:rsidRPr="00827F78" w:rsidRDefault="004A5F7F" w:rsidP="00161747">
            <w:pPr>
              <w:keepNext/>
              <w:keepLines/>
              <w:rPr>
                <w:color w:val="000000"/>
              </w:rPr>
            </w:pPr>
          </w:p>
          <w:p w:rsidR="004A5F7F" w:rsidRPr="00827F78" w:rsidRDefault="00651A76" w:rsidP="00161747">
            <w:pPr>
              <w:keepNext/>
              <w:keepLines/>
              <w:rPr>
                <w:b/>
                <w:bCs/>
                <w:color w:val="000000"/>
              </w:rPr>
            </w:pPr>
            <w:r>
              <w:rPr>
                <w:color w:val="000000"/>
              </w:rPr>
              <w:t>Medlemmarna ombeds att använda onlinesystemet för överlåtelse av deltaganderätt och rösträtt för att bekräfta sitt deltagande vid sammanträdet eller informera sekretariatet om överlåtelse av deltaganderätt till en annan medlem eller suppleant i enlighet me</w:t>
            </w:r>
            <w:r w:rsidR="00161747">
              <w:rPr>
                <w:color w:val="000000"/>
              </w:rPr>
              <w:t>d artikel 5.2 i </w:t>
            </w:r>
            <w:bookmarkStart w:id="0" w:name="_GoBack"/>
            <w:bookmarkEnd w:id="0"/>
            <w:r>
              <w:rPr>
                <w:color w:val="000000"/>
              </w:rPr>
              <w:t>arbetsordningen. Onlinesystemet finns på ledamöternas portal på ReK:s webbplats.</w:t>
            </w:r>
          </w:p>
          <w:p w:rsidR="004A5F7F" w:rsidRPr="00827F78" w:rsidRDefault="004A5F7F" w:rsidP="00161747">
            <w:pPr>
              <w:keepNext/>
              <w:keepLines/>
              <w:rPr>
                <w:b/>
                <w:bCs/>
                <w:color w:val="000000"/>
              </w:rPr>
            </w:pPr>
          </w:p>
          <w:p w:rsidR="004A5F7F" w:rsidRPr="000F0406" w:rsidRDefault="00651A76" w:rsidP="00161747">
            <w:pPr>
              <w:keepNext/>
              <w:keepLines/>
              <w:rPr>
                <w:b/>
              </w:rPr>
            </w:pPr>
            <w:r>
              <w:rPr>
                <w:b/>
              </w:rPr>
              <w:t xml:space="preserve">En helpdesk står till förfogande för ytterligare stöd (+32 25469697, </w:t>
            </w:r>
            <w:hyperlink r:id="rId13" w:history="1">
              <w:r>
                <w:rPr>
                  <w:rStyle w:val="Hyperlink"/>
                  <w:b/>
                </w:rPr>
                <w:t>helpdesk@cor.europa.eu</w:t>
              </w:r>
            </w:hyperlink>
            <w:r>
              <w:rPr>
                <w:b/>
              </w:rPr>
              <w:t>).</w:t>
            </w:r>
          </w:p>
          <w:p w:rsidR="004A5F7F" w:rsidRPr="00827F78" w:rsidRDefault="004A5F7F" w:rsidP="00161747">
            <w:pPr>
              <w:keepNext/>
              <w:keepLines/>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Sammanträdet kommer att hållas online och deltagande på plats är inte möjligt</w:t>
            </w:r>
          </w:p>
          <w:p w:rsidR="009C2E1C" w:rsidRPr="00FB6F14" w:rsidRDefault="009C2E1C">
            <w:pPr>
              <w:rPr>
                <w:lang w:val="en-GB"/>
              </w:rPr>
            </w:pPr>
          </w:p>
          <w:p w:rsidR="009C2E1C" w:rsidRDefault="009C2E1C" w:rsidP="000F0406">
            <w:r>
              <w:t>Dagordningen skickas ut till alla medlemmar av SEDEC-utskottet för kännedom. Observera att du endast har rätt att delta (eller överlåta rätten att delta) och rätt till betalning eller ersättning 1) om du har ett giltigt mandat som ledamot av Regionkommittén vid tidpunkten för sammanträdet, och 2) i enlighet med de relevanta ReK-bestämmelser för sammanträden online som är giltiga vid tidpunkten för sammanträdet</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Ledamöter och formellt utsedda suppleanter som deltar i hybridsammanträden på distans ska ha rätt till ett traktamente för distanssammanträden i enlighet med anvisningar nr 14/2020 av den 23 juni 2020, ändrade genom anvisningar nr 21/2020 av den 9 oktober 2020.</w:t>
            </w:r>
          </w:p>
          <w:p w:rsidR="00487D8A" w:rsidRPr="00FB6F14" w:rsidRDefault="00487D8A" w:rsidP="000F0406">
            <w:pPr>
              <w:rPr>
                <w:b/>
                <w:lang w:val="en-GB"/>
              </w:rPr>
            </w:pPr>
          </w:p>
          <w:p w:rsidR="009C2E1C" w:rsidRDefault="009C2E1C" w:rsidP="000F0406">
            <w:r>
              <w:t>Medlemmarna ombes att använda onlinesystemet för överlåtelse av deltaganderätt och rösträtt för att bekräfta sitt deltagande vid sammanträdet online eller informera sekretariatet om överlåtelse av deltaganderätt till en annan medlem eller suppleant i enlighet med artikel 5.2 i arbetsordningen. Onlinesystemet finns på ledamöternas portal på ReK:s webbplats.</w:t>
            </w:r>
          </w:p>
          <w:p w:rsidR="00487D8A" w:rsidRPr="00FB6F14" w:rsidRDefault="00487D8A" w:rsidP="000F0406">
            <w:pPr>
              <w:rPr>
                <w:lang w:val="en-GB"/>
              </w:rPr>
            </w:pPr>
          </w:p>
          <w:p w:rsidR="009C2E1C" w:rsidRPr="00FB6F14" w:rsidRDefault="009C2E1C" w:rsidP="000F0406">
            <w:pPr>
              <w:rPr>
                <w:b/>
              </w:rPr>
            </w:pPr>
            <w:r>
              <w:rPr>
                <w:b/>
              </w:rPr>
              <w:lastRenderedPageBreak/>
              <w:t xml:space="preserve">En helpdesk står till förfogande för tekniskt stöd (+32 25469697, e-post: </w:t>
            </w:r>
            <w:hyperlink r:id="rId14" w:history="1">
              <w:r>
                <w:rPr>
                  <w:b/>
                  <w:color w:val="0000FF"/>
                  <w:u w:val="single"/>
                </w:rPr>
                <w:t>helpdesk@cor.europa.eu</w:t>
              </w:r>
            </w:hyperlink>
            <w:r>
              <w:rPr>
                <w:b/>
              </w:rPr>
              <w:t>).</w:t>
            </w:r>
          </w:p>
        </w:tc>
      </w:tr>
    </w:tbl>
    <w:p w:rsidR="009C2E1C" w:rsidRPr="00FB6F14" w:rsidRDefault="009C2E1C">
      <w:pPr>
        <w:tabs>
          <w:tab w:val="left" w:pos="3262"/>
        </w:tabs>
        <w:rPr>
          <w:b/>
          <w:lang w:val="en-GB"/>
        </w:rPr>
      </w:pPr>
    </w:p>
    <w:p w:rsidR="009C2E1C" w:rsidRPr="00FB6F14" w:rsidRDefault="009C2E1C">
      <w:r>
        <w:rPr>
          <w:b/>
        </w:rPr>
        <w:t>Ansvarsfriskrivning:</w:t>
      </w:r>
      <w:r>
        <w:t xml:space="preserve"> I enlighet med ReK:s presidiums beslut nr 15/2018 kommer det under sammanträdet att förekomma ljudupptagning och webbströmning samt eventuellt videoupptagning och fotografering. Kommittén kan komma att använda det insamlade materialet för interna och externa kommunikationssyften. Personuppgifter kommer att behandlas i enlighet med förordning (EU) 1725/2018. Kommittén ansvarar inte för tredje parts eventuella användning av video- eller ljudmaterialet från sammanträdet, som kräver sammanträdesdeltagarnas uttryckliga samtycke.</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161747">
      <w:rPr>
        <w:noProof/>
      </w:rPr>
      <w:t>7</w:t>
    </w:r>
    <w:r>
      <w:fldChar w:fldCharType="end"/>
    </w:r>
    <w:r>
      <w:t>/</w:t>
    </w:r>
    <w:r w:rsidR="00161747">
      <w:fldChar w:fldCharType="begin"/>
    </w:r>
    <w:r w:rsidR="00161747">
      <w:instrText xml:space="preserve"> NUMPAGES </w:instrText>
    </w:r>
    <w:r w:rsidR="00161747">
      <w:fldChar w:fldCharType="separate"/>
    </w:r>
    <w:r w:rsidR="00161747">
      <w:rPr>
        <w:noProof/>
      </w:rPr>
      <w:t>7</w:t>
    </w:r>
    <w:r w:rsidR="0016174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I enlighet med presidiets anvisningar med instruktioner för hur arbetet ska organiseras vid Europeiska regionkommitténs plenarsessioner, presidiesammanträden och utskottssammanträden under covid-19-pandemin och anvisningarna nr 10/2020 om utbetalning av ett traktamente för distanssammanträden till ledamöter och formellt utsedda suppleanter av Europeiska regionkommittén, antagna vid presidiets sammanträde den 18 maj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61747"/>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11D1D"/>
    <w:rsid w:val="00827F78"/>
    <w:rsid w:val="00833265"/>
    <w:rsid w:val="008466CA"/>
    <w:rsid w:val="008B7BD6"/>
    <w:rsid w:val="008F0EB0"/>
    <w:rsid w:val="00967A63"/>
    <w:rsid w:val="00995F3E"/>
    <w:rsid w:val="009B3777"/>
    <w:rsid w:val="009C2E1C"/>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D15BD58"/>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sv-SE" w:eastAsia="en-US"/>
    </w:rPr>
  </w:style>
  <w:style w:type="character" w:customStyle="1" w:styleId="Heading2Char">
    <w:name w:val="Heading 2 Char"/>
    <w:basedOn w:val="DefaultParagraphFont"/>
    <w:link w:val="Heading2"/>
    <w:rPr>
      <w:rFonts w:ascii="Times New Roman" w:eastAsia="Times New Roman" w:hAnsi="Times New Roman" w:cs="Times New Roman"/>
      <w:lang w:val="sv-SE"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sv-SE"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sv-SE"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sv-SE"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sv-SE"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sv-SE"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sv-SE"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sv-SE"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sv-SE"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sv-SE"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sv-SE"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3T5AXJEHYTWU-1246943346-5492</_dlc_DocId>
    <_dlc_DocIdUrl xmlns="0b452354-65a4-4dd6-8824-e6b830247e3e">
      <Url>http://dm2016/cor/2020/_layouts/15/DocIdRedir.aspx?ID=3T5AXJEHYTWU-1246943346-5492</Url>
      <Description>3T5AXJEHYTWU-1246943346-5492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DABE7A9-FD85-4D6E-B45A-5701B0F1B120}"/>
</file>

<file path=customXml/itemProps2.xml><?xml version="1.0" encoding="utf-8"?>
<ds:datastoreItem xmlns:ds="http://schemas.openxmlformats.org/officeDocument/2006/customXml" ds:itemID="{F0DA8D0B-9F5D-4F6C-92E0-2D3EE9AACD8B}"/>
</file>

<file path=customXml/itemProps3.xml><?xml version="1.0" encoding="utf-8"?>
<ds:datastoreItem xmlns:ds="http://schemas.openxmlformats.org/officeDocument/2006/customXml" ds:itemID="{EB99A05F-5A41-46A3-AB3F-6B4BB6BFEC8D}"/>
</file>

<file path=customXml/itemProps4.xml><?xml version="1.0" encoding="utf-8"?>
<ds:datastoreItem xmlns:ds="http://schemas.openxmlformats.org/officeDocument/2006/customXml" ds:itemID="{34D0DC12-D917-4E77-8530-A9E6C8D48339}"/>
</file>

<file path=docProps/app.xml><?xml version="1.0" encoding="utf-8"?>
<Properties xmlns="http://schemas.openxmlformats.org/officeDocument/2006/extended-properties" xmlns:vt="http://schemas.openxmlformats.org/officeDocument/2006/docPropsVTypes">
  <Template>Styles.dotm</Template>
  <TotalTime>2</TotalTime>
  <Pages>7</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Dagordning för SEDEC-utskottets 5:e sammanträde</dc:title>
  <dc:creator>Daniela Pastina</dc:creator>
  <cp:keywords>COR-2020-04663-00-03-CONVPOJ-TRA-EN</cp:keywords>
  <dc:description>Rapporteur:  - Original language: EN - Date of document: 20/11/2020 - Date of meeting: 25/11/2020 - External documents:  - Administrator:  SATTA Valeria</dc:description>
  <cp:lastModifiedBy>Venalainen Eeva</cp:lastModifiedBy>
  <cp:revision>6</cp:revision>
  <dcterms:created xsi:type="dcterms:W3CDTF">2020-11-19T13:38:00Z</dcterms:created>
  <dcterms:modified xsi:type="dcterms:W3CDTF">2020-11-20T11:48:00Z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21457583-4c24-4205-bc33-f1fff8e945f5</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SL|98a412ae-eb01-49e9-ae3d-585a81724cfc;FI|87606a43-d45f-42d6-b8c9-e1a3457db5b7;EN|f2175f21-25d7-44a3-96da-d6a61b075e1b;DA|5d49c027-8956-412b-aa16-e85a0f96ad0e;LT|a7ff5ce7-6123-4f68-865a-a57c31810414;MT|7df99101-6854-4a26-b53a-b88c0da02c26;IT|0774613c-01ed-4e5d-a25d-11d2388de825;FR|d2afafd3-4c81-4f60-8f52-ee33f2f54ff3;DE|f6b31e5a-26fa-4935-b661-318e46daf27e;EL|6d4f4d51-af9b-4650-94b4-4276bee85c91;HR|2f555653-ed1a-4fe6-8362-9082d95989e5;PT|50ccc04a-eadd-42ae-a0cb-acaf45f812ba;BG|1a1b3951-7821-4e6a-85f5-5673fc08bd2c;HU|6b229040-c589-4408-b4c1-4285663d20a8;NL|55c6556c-b4f4-441d-9acf-c498d4f838bd;LV|46f7e311-5d9f-4663-b433-18aeccb7ace7;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35;#PT|50ccc04a-eadd-42ae-a0cb-acaf45f812ba;#34;#CS|72f9705b-0217-4fd3-bea2-cbc7ed80e26e;#33;#CONVPOJ|4be1222e-972b-4c27-a530-eec9a2dcd101;#13;#HR|2f555653-ed1a-4fe6-8362-9082d95989e5;#30;#DA|5d49c027-8956-412b-aa16-e85a0f96ad0e;#31;#LV|46f7e311-5d9f-4663-b433-18aeccb7ace7;#27;#HU|6b229040-c589-4408-b4c1-4285663d20a8;#26;#SL|98a412ae-eb01-49e9-ae3d-585a81724cfc;#23;#DE|f6b31e5a-26fa-4935-b661-318e46daf27e;#19;#LT|a7ff5ce7-6123-4f68-865a-a57c31810414;#18;#NL|55c6556c-b4f4-441d-9acf-c498d4f838bd;#16;#ES|e7a6b05b-ae16-40c8-add9-68b64b03aeba;#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29;#SV|c2ed69e7-a339-43d7-8f22-d93680a92aa0</vt:lpwstr>
  </property>
</Properties>
</file>