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B5D" w:rsidRPr="00FA591A" w:rsidRDefault="0023381A" w:rsidP="00FA591A">
      <w:pPr>
        <w:jc w:val="both"/>
        <w:rPr>
          <w:b/>
          <w:sz w:val="36"/>
          <w:szCs w:val="36"/>
          <w:u w:val="single"/>
          <w:lang w:val="en-US"/>
        </w:rPr>
      </w:pPr>
      <w:r>
        <w:rPr>
          <w:noProof/>
          <w:lang w:val="en-US"/>
        </w:rPr>
        <w:drawing>
          <wp:anchor distT="0" distB="0" distL="114300" distR="114300" simplePos="0" relativeHeight="251658240" behindDoc="0" locked="0" layoutInCell="1" allowOverlap="1" wp14:anchorId="7062ED57" wp14:editId="16948DED">
            <wp:simplePos x="0" y="0"/>
            <wp:positionH relativeFrom="margin">
              <wp:align>right</wp:align>
            </wp:positionH>
            <wp:positionV relativeFrom="paragraph">
              <wp:posOffset>0</wp:posOffset>
            </wp:positionV>
            <wp:extent cx="1202400" cy="925200"/>
            <wp:effectExtent l="0" t="0" r="0" b="8255"/>
            <wp:wrapNone/>
            <wp:docPr id="5" name="Picture 5" descr="LOGO-CE for Word EN Posi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E for Word EN Positiv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2400" cy="92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B5A8B" w:rsidRPr="00801050">
        <w:rPr>
          <w:noProof/>
          <w:lang w:val="en-US"/>
        </w:rPr>
        <w:drawing>
          <wp:inline distT="0" distB="0" distL="0" distR="0" wp14:anchorId="7BBF8531" wp14:editId="7D659990">
            <wp:extent cx="1800000" cy="1558636"/>
            <wp:effectExtent l="0" t="0" r="0" b="3810"/>
            <wp:docPr id="4" name="Picture 4" descr="C:\Users\mreg\Music\New LOGO\Logo\logo_CoR-vertical-positive-bg-quadri_MR.jpg" title="CoRLogo_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eg\Music\New LOGO\Logo\logo_CoR-vertical-positive-bg-quadri_MR.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0000" cy="1558636"/>
                    </a:xfrm>
                    <a:prstGeom prst="rect">
                      <a:avLst/>
                    </a:prstGeom>
                    <a:noFill/>
                    <a:ln>
                      <a:noFill/>
                    </a:ln>
                  </pic:spPr>
                </pic:pic>
              </a:graphicData>
            </a:graphic>
          </wp:inline>
        </w:drawing>
      </w:r>
      <w:bookmarkStart w:id="0" w:name="_GoBack"/>
      <w:bookmarkEnd w:id="0"/>
    </w:p>
    <w:p w:rsidR="00B87B5D" w:rsidRPr="003814FB" w:rsidRDefault="00C82EBC">
      <w:pPr>
        <w:jc w:val="center"/>
        <w:rPr>
          <w:b/>
          <w:sz w:val="36"/>
          <w:szCs w:val="36"/>
          <w:u w:val="single"/>
        </w:rPr>
      </w:pPr>
      <w:r>
        <w:rPr>
          <w:b/>
          <w:noProof/>
          <w:sz w:val="20"/>
          <w:szCs w:val="36"/>
          <w:u w:val="single"/>
          <w:lang w:val="en-US"/>
        </w:rPr>
        <mc:AlternateContent>
          <mc:Choice Requires="wps">
            <w:drawing>
              <wp:anchor distT="0" distB="0" distL="114300" distR="114300" simplePos="0" relativeHeight="251664384" behindDoc="1" locked="0" layoutInCell="0" allowOverlap="1" wp14:anchorId="0A16B62C" wp14:editId="245779F2">
                <wp:simplePos x="0" y="0"/>
                <wp:positionH relativeFrom="page">
                  <wp:posOffset>6769100</wp:posOffset>
                </wp:positionH>
                <wp:positionV relativeFrom="page">
                  <wp:posOffset>10081260</wp:posOffset>
                </wp:positionV>
                <wp:extent cx="647700" cy="396240"/>
                <wp:effectExtent l="0" t="3810" r="3175"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2EBC" w:rsidRPr="00260E65" w:rsidRDefault="00C82EBC">
                            <w:pPr>
                              <w:jc w:val="center"/>
                              <w:rPr>
                                <w:rFonts w:ascii="Arial" w:hAnsi="Arial" w:cs="Arial"/>
                                <w:b/>
                                <w:bCs/>
                                <w:sz w:val="48"/>
                              </w:rPr>
                            </w:pPr>
                            <w:r>
                              <w:rPr>
                                <w:rFonts w:ascii="Arial" w:hAnsi="Arial"/>
                                <w:b/>
                                <w:bCs/>
                                <w:sz w:val="48"/>
                              </w:rPr>
                              <w:t>BG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6B62C"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l0EtQIAALk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B2tl0EtQIAALkF&#10;AAAOAAAAAAAAAAAAAAAAAC4CAABkcnMvZTJvRG9jLnhtbFBLAQItABQABgAIAAAAIQDrVDFa3gAA&#10;AA8BAAAPAAAAAAAAAAAAAAAAAA8FAABkcnMvZG93bnJldi54bWxQSwUGAAAAAAQABADzAAAAGgYA&#10;AAAA&#10;" o:allowincell="f" filled="f" stroked="f">
                <v:textbox>
                  <w:txbxContent>
                    <w:p w:rsidR="00C82EBC" w:rsidRPr="00260E65" w:rsidRDefault="00C82EBC">
                      <w:pPr>
                        <w:jc w:val="center"/>
                        <w:rPr>
                          <w:rFonts w:ascii="Arial" w:hAnsi="Arial" w:cs="Arial"/>
                          <w:b/>
                          <w:bCs/>
                          <w:sz w:val="48"/>
                        </w:rPr>
                      </w:pPr>
                      <w:r>
                        <w:rPr>
                          <w:rFonts w:ascii="Arial" w:hAnsi="Arial"/>
                          <w:b/>
                          <w:bCs/>
                          <w:sz w:val="48"/>
                        </w:rPr>
                        <w:t>BG</w:t>
                      </w:r>
                    </w:p>
                  </w:txbxContent>
                </v:textbox>
                <w10:wrap anchorx="page" anchory="page"/>
              </v:shape>
            </w:pict>
          </mc:Fallback>
        </mc:AlternateContent>
      </w:r>
    </w:p>
    <w:p w:rsidR="0072285A" w:rsidRPr="003814FB" w:rsidRDefault="00C34231">
      <w:pPr>
        <w:jc w:val="center"/>
        <w:rPr>
          <w:b/>
          <w:sz w:val="36"/>
          <w:u w:val="single"/>
        </w:rPr>
      </w:pPr>
      <w:r>
        <w:rPr>
          <w:b/>
          <w:sz w:val="36"/>
          <w:u w:val="single"/>
        </w:rPr>
        <w:t>Области за засилено сътрудничество</w:t>
      </w:r>
      <w:r>
        <w:rPr>
          <w:b/>
          <w:sz w:val="36"/>
          <w:u w:val="single"/>
        </w:rPr>
        <w:br/>
        <w:t>между Европейския комитет на регионите (КР) и генерална дирекция „Трудова заетост, социални въпроси и приобщаване“ (ГД EMPL) на Европейската комисия</w:t>
      </w:r>
    </w:p>
    <w:p w:rsidR="001C24E4" w:rsidRPr="003814FB" w:rsidRDefault="001C24E4">
      <w:pPr>
        <w:jc w:val="center"/>
        <w:rPr>
          <w:b/>
          <w:sz w:val="36"/>
          <w:szCs w:val="36"/>
          <w:u w:val="single"/>
          <w:lang w:val="en-GB"/>
        </w:rPr>
      </w:pPr>
    </w:p>
    <w:p w:rsidR="009521C5" w:rsidRPr="007D6282" w:rsidRDefault="009521C5" w:rsidP="007D6282">
      <w:pPr>
        <w:pStyle w:val="Heading1"/>
        <w:numPr>
          <w:ilvl w:val="0"/>
          <w:numId w:val="22"/>
        </w:numPr>
        <w:ind w:left="567" w:hanging="567"/>
        <w:rPr>
          <w:rFonts w:ascii="Times New Roman" w:hAnsi="Times New Roman"/>
          <w:b/>
          <w:color w:val="auto"/>
          <w:sz w:val="24"/>
        </w:rPr>
      </w:pPr>
      <w:r>
        <w:rPr>
          <w:rFonts w:ascii="Times New Roman" w:hAnsi="Times New Roman"/>
          <w:b/>
          <w:color w:val="auto"/>
          <w:sz w:val="24"/>
        </w:rPr>
        <w:t>Въведение</w:t>
      </w:r>
    </w:p>
    <w:p w:rsidR="00014693" w:rsidRPr="007D6282" w:rsidRDefault="00014693">
      <w:pPr>
        <w:rPr>
          <w:sz w:val="24"/>
          <w:szCs w:val="24"/>
          <w:lang w:val="en-GB"/>
        </w:rPr>
      </w:pPr>
    </w:p>
    <w:p w:rsidR="00014E6A" w:rsidRPr="007D6282" w:rsidRDefault="00C82EBC">
      <w:pPr>
        <w:rPr>
          <w:color w:val="000000"/>
        </w:rPr>
      </w:pPr>
      <w:r>
        <w:t>Още отпреди кризата с COVID-19 е ясно, че „социална Европа“ е от решаващо значение за приноса на ЕС за демократични, многообразни в културно отношение, сплотени и проспериращи общества. Тя означава икономически и социален напредък, борба с дискриминацията и социалното изключване, като подготвя европейците за пазара на труда и им дава възможност да живеят пълноценно</w:t>
      </w:r>
      <w:r w:rsidR="00014E6A" w:rsidRPr="007D6282">
        <w:rPr>
          <w:rStyle w:val="FootnoteReference"/>
          <w:lang w:val="en-GB"/>
        </w:rPr>
        <w:footnoteReference w:id="2"/>
      </w:r>
      <w:r>
        <w:t xml:space="preserve">. </w:t>
      </w:r>
    </w:p>
    <w:p w:rsidR="00014E6A" w:rsidRPr="007D6282" w:rsidRDefault="00014E6A">
      <w:pPr>
        <w:rPr>
          <w:color w:val="000000"/>
          <w:lang w:val="en-GB"/>
        </w:rPr>
      </w:pPr>
    </w:p>
    <w:p w:rsidR="00014E6A" w:rsidRPr="003814FB" w:rsidRDefault="00014E6A" w:rsidP="005D5EB3">
      <w:pPr>
        <w:jc w:val="both"/>
      </w:pPr>
      <w:r>
        <w:t xml:space="preserve">Европейският комитет на регионите (КР) и генерална дирекция „Трудова заетост, социални въпроси и приобщаване“ и преди са си сътрудничили в няколко области; очевидно е обаче, че предстоящите предизвикателства и силният интерес на комисаря, отговарящ за този ресор, предоставят възможност за поставяне на сътрудничеството в тази област между Комисията и КР на ново равнище. </w:t>
      </w:r>
    </w:p>
    <w:p w:rsidR="00014E6A" w:rsidRPr="003814FB" w:rsidRDefault="00014E6A">
      <w:pPr>
        <w:rPr>
          <w:lang w:val="en-GB"/>
        </w:rPr>
      </w:pPr>
    </w:p>
    <w:p w:rsidR="00014E6A" w:rsidRPr="007D6282" w:rsidRDefault="00014E6A" w:rsidP="007D6282">
      <w:pPr>
        <w:pStyle w:val="ListParagraph"/>
        <w:numPr>
          <w:ilvl w:val="0"/>
          <w:numId w:val="26"/>
        </w:numPr>
        <w:ind w:left="360"/>
        <w:jc w:val="both"/>
      </w:pPr>
      <w:r>
        <w:rPr>
          <w:rFonts w:ascii="Times New Roman" w:hAnsi="Times New Roman"/>
        </w:rPr>
        <w:t xml:space="preserve">Комисар Schmit прояви забележителен интерес към КР, като за по-малко от година взе участие в две пленарни сесии и едно заседание на Комисията по социална политика, образование, заетост, научни изследвания и култура (SEDEC); </w:t>
      </w:r>
    </w:p>
    <w:p w:rsidR="00164C40" w:rsidRPr="007D6282" w:rsidRDefault="00164C40" w:rsidP="007D6282">
      <w:pPr>
        <w:pStyle w:val="ListParagraph"/>
        <w:numPr>
          <w:ilvl w:val="0"/>
          <w:numId w:val="26"/>
        </w:numPr>
        <w:ind w:left="360"/>
        <w:jc w:val="both"/>
      </w:pPr>
      <w:r>
        <w:rPr>
          <w:rFonts w:ascii="Times New Roman" w:hAnsi="Times New Roman"/>
        </w:rPr>
        <w:t xml:space="preserve">Joost Korte (генерален директор на ГД „Трудова заетост, социални въпроси и приобщаване“) взе участие в заседанието на комисия SEDEC през февруари 2020 г., на което произнесе реч, </w:t>
      </w:r>
      <w:r>
        <w:rPr>
          <w:rFonts w:ascii="Times New Roman" w:hAnsi="Times New Roman"/>
        </w:rPr>
        <w:lastRenderedPageBreak/>
        <w:t>с която насърчи членовете на КР да предоставят обратна информация, както се иска в съобщението на Комисията „Силна социална Европа за справедливи промени“ (становището на комисия SEDEC относно съобщението вече е в процес на изготвяне);</w:t>
      </w:r>
    </w:p>
    <w:p w:rsidR="00164C40" w:rsidRPr="007D6282" w:rsidRDefault="00164C40" w:rsidP="007D6282">
      <w:pPr>
        <w:pStyle w:val="ListParagraph"/>
        <w:numPr>
          <w:ilvl w:val="0"/>
          <w:numId w:val="26"/>
        </w:numPr>
        <w:ind w:left="360"/>
        <w:jc w:val="both"/>
      </w:pPr>
      <w:r>
        <w:rPr>
          <w:rFonts w:ascii="Times New Roman" w:hAnsi="Times New Roman"/>
        </w:rPr>
        <w:t>Комисарят и генералният директор ясно заявиха, че очакват КР да вземе активно участие в подготовката на социалната среща на върха в Порто (май 2021 г.) и в изготвянето на плана за действие за изпълнение на Европейския стълб на социалните права (ЕССП).</w:t>
      </w:r>
    </w:p>
    <w:p w:rsidR="006A6308" w:rsidRPr="007D6282" w:rsidRDefault="006A6308" w:rsidP="007D6282">
      <w:pPr>
        <w:pStyle w:val="ListParagraph"/>
        <w:numPr>
          <w:ilvl w:val="0"/>
          <w:numId w:val="26"/>
        </w:numPr>
        <w:ind w:left="360"/>
        <w:jc w:val="both"/>
      </w:pPr>
      <w:r>
        <w:rPr>
          <w:rFonts w:ascii="Times New Roman" w:hAnsi="Times New Roman"/>
        </w:rPr>
        <w:t>По време на срещата на комисаря и на председателя на КР (9 юли) допълнително беше насърчен духът на взаимно сътрудничество, като беше посочено, че и двете институции следва да намерят повече възможности за това.</w:t>
      </w:r>
    </w:p>
    <w:p w:rsidR="00864E4E" w:rsidRPr="003814FB" w:rsidRDefault="00864E4E" w:rsidP="005D5EB3">
      <w:pPr>
        <w:jc w:val="both"/>
      </w:pPr>
      <w:r>
        <w:t>В протокола за сътрудничество между Европейската комисия и Комитета на регионите (2012/C 102/02)</w:t>
      </w:r>
      <w:r w:rsidRPr="007D6282">
        <w:rPr>
          <w:lang w:val="en-GB"/>
        </w:rPr>
        <w:footnoteReference w:id="3"/>
      </w:r>
      <w:r>
        <w:t xml:space="preserve"> двете институции се договориха да засилят сътрудничеството помежду си. В този съвместен документ на КР и ГД „Трудова заетост, социални въпроси и приобщаване“ се определят областите на политиката за засилено сътрудничество и основните инструменти.</w:t>
      </w:r>
    </w:p>
    <w:p w:rsidR="003D208F" w:rsidRPr="003814FB" w:rsidRDefault="003D208F">
      <w:pPr>
        <w:rPr>
          <w:lang w:val="en-GB"/>
        </w:rPr>
      </w:pPr>
    </w:p>
    <w:p w:rsidR="00EB524C" w:rsidRPr="007D6282" w:rsidRDefault="00EA2779" w:rsidP="007D6282">
      <w:pPr>
        <w:pStyle w:val="Heading1"/>
        <w:numPr>
          <w:ilvl w:val="0"/>
          <w:numId w:val="22"/>
        </w:numPr>
        <w:spacing w:before="0"/>
        <w:ind w:left="567" w:hanging="567"/>
        <w:rPr>
          <w:rFonts w:ascii="Times New Roman" w:hAnsi="Times New Roman"/>
          <w:b/>
          <w:color w:val="auto"/>
          <w:sz w:val="24"/>
        </w:rPr>
      </w:pPr>
      <w:r>
        <w:rPr>
          <w:rFonts w:ascii="Times New Roman" w:hAnsi="Times New Roman"/>
          <w:b/>
          <w:color w:val="auto"/>
          <w:sz w:val="24"/>
        </w:rPr>
        <w:t>Основни теми за по-тясно сътрудничество между КР и ГД „Трудова заетост, социални въпроси и приобщаване“</w:t>
      </w:r>
    </w:p>
    <w:p w:rsidR="004D765D" w:rsidRPr="003814FB" w:rsidRDefault="004D765D" w:rsidP="007D6282">
      <w:pPr>
        <w:keepNext/>
        <w:rPr>
          <w:lang w:val="en-GB"/>
        </w:rPr>
      </w:pPr>
    </w:p>
    <w:p w:rsidR="00964812" w:rsidRPr="007D6282" w:rsidRDefault="008E118B">
      <w:r>
        <w:t>Поради широкия обхват на темите, свързани със социалното измерение, и предвид наличните ресурси е важно засиленото сътрудничество да се съсредоточи в области, в които КР може да предостави ясна добавена стойност и които са със най-голямо териториално измерение. Без да се създават пречки за сътрудничеството в други области, по-специално по отношение на насърчаването на социалната икономика, областите на засилено сътрудничество следователно са следните:</w:t>
      </w:r>
    </w:p>
    <w:p w:rsidR="003D208F" w:rsidRPr="007D6282" w:rsidRDefault="003D208F">
      <w:pPr>
        <w:rPr>
          <w:lang w:val="en-GB"/>
        </w:rPr>
      </w:pPr>
    </w:p>
    <w:p w:rsidR="00EA2779" w:rsidRPr="007D6282" w:rsidRDefault="00EA2779" w:rsidP="007D6282">
      <w:pPr>
        <w:pStyle w:val="Heading2"/>
        <w:rPr>
          <w:rFonts w:asciiTheme="majorHAnsi" w:hAnsiTheme="majorHAnsi"/>
          <w:color w:val="365F91" w:themeColor="accent1" w:themeShade="BF"/>
        </w:rPr>
      </w:pPr>
      <w:r>
        <w:rPr>
          <w:rFonts w:ascii="Times New Roman" w:hAnsi="Times New Roman"/>
          <w:b/>
          <w:sz w:val="24"/>
          <w:szCs w:val="24"/>
        </w:rPr>
        <w:t>2.1.</w:t>
      </w:r>
      <w:r>
        <w:tab/>
      </w:r>
      <w:r>
        <w:rPr>
          <w:rFonts w:ascii="Times New Roman" w:hAnsi="Times New Roman"/>
          <w:b/>
          <w:sz w:val="24"/>
          <w:szCs w:val="32"/>
        </w:rPr>
        <w:t>Европейският стълб на социалните права</w:t>
      </w:r>
    </w:p>
    <w:p w:rsidR="00EA2779" w:rsidRPr="007D6282" w:rsidRDefault="00EA2779" w:rsidP="007D6282">
      <w:pPr>
        <w:rPr>
          <w:b/>
          <w:u w:val="single"/>
          <w:lang w:val="en-GB"/>
        </w:rPr>
      </w:pPr>
    </w:p>
    <w:p w:rsidR="005366D6" w:rsidRPr="007D6282" w:rsidRDefault="005366D6" w:rsidP="007D6282">
      <w:pPr>
        <w:rPr>
          <w:szCs w:val="24"/>
        </w:rPr>
      </w:pPr>
      <w:r>
        <w:t>Европейският стълб на социалните права е консенсусен документ, който отразява позицията на Съюза в областта на заетостта и социалните въпроси.</w:t>
      </w:r>
      <w:r>
        <w:rPr>
          <w:i/>
          <w:szCs w:val="24"/>
        </w:rPr>
        <w:t xml:space="preserve"> </w:t>
      </w:r>
      <w:r>
        <w:t>Той беше оповестен на най-високо политическо равнище и вече доведе до предприемането на дългосрочни мерки на европейско, национално, регионално и местно равнище за укрепване на социалното измерение на ЕС. Със съобщението си от 27 май 2020 г. Комисията също така постави Европейския стълб на социалните права в основата на пътната си карта за справедливо и приобщаващо възстановяване от кризата с COVID-19.</w:t>
      </w:r>
    </w:p>
    <w:p w:rsidR="005366D6" w:rsidRPr="007D6282" w:rsidRDefault="005366D6">
      <w:pPr>
        <w:rPr>
          <w:szCs w:val="24"/>
          <w:lang w:val="en-GB" w:eastAsia="fr-BE"/>
        </w:rPr>
      </w:pPr>
    </w:p>
    <w:p w:rsidR="005366D6" w:rsidRPr="007D6282" w:rsidRDefault="005366D6">
      <w:pPr>
        <w:rPr>
          <w:szCs w:val="24"/>
        </w:rPr>
      </w:pPr>
      <w:r>
        <w:t xml:space="preserve">В Стратегическата програма за периода 2019—2024 г., одобрена от Европейския съвет през юни 2019 г., се призовава за изпълнението на стълба на равнище ЕС и държави членки при надлежно зачитане на съответните области на компетентност. </w:t>
      </w:r>
    </w:p>
    <w:p w:rsidR="003D208F" w:rsidRPr="007D6282" w:rsidRDefault="003D208F">
      <w:pPr>
        <w:rPr>
          <w:szCs w:val="24"/>
          <w:lang w:val="en-GB" w:eastAsia="en-GB"/>
        </w:rPr>
      </w:pPr>
    </w:p>
    <w:p w:rsidR="005366D6" w:rsidRPr="007D6282" w:rsidRDefault="005366D6">
      <w:pPr>
        <w:rPr>
          <w:szCs w:val="24"/>
        </w:rPr>
      </w:pPr>
      <w:r>
        <w:t>В политическите насоки за Комисията на председателя von der Leyen се посочва ангажиментът за представяне на план за действие за цялостното изпълнение на Европейския стълб на социалните права. В съобщението на Комисията от 14 януари 2020 г. „Силна социална Европа за справедливи промени“ бяха представени редица ключови действия за 2020 и 2021 г. и беше поставено началото на широкообхватен процес на консултации и ангажираност като част от подготовката за изготвянето на плана за действие. Нуждата от социална подкрепа и закрила е още по-остра в условията на настоящата пандемия от COVID-19, тъй като системите за социално подпомагане на държавите членки са подложени на огромен натиск и социалната структура на ЕС е застрашена от сриване.</w:t>
      </w:r>
    </w:p>
    <w:p w:rsidR="005366D6" w:rsidRPr="007D6282" w:rsidRDefault="005366D6">
      <w:pPr>
        <w:rPr>
          <w:szCs w:val="24"/>
          <w:lang w:val="en-GB" w:eastAsia="en-GB"/>
        </w:rPr>
      </w:pPr>
    </w:p>
    <w:p w:rsidR="005366D6" w:rsidRPr="007D6282" w:rsidRDefault="005366D6">
      <w:pPr>
        <w:autoSpaceDE w:val="0"/>
        <w:autoSpaceDN w:val="0"/>
        <w:adjustRightInd w:val="0"/>
        <w:rPr>
          <w:szCs w:val="24"/>
        </w:rPr>
      </w:pPr>
      <w:r>
        <w:t xml:space="preserve">Целта на Комисията е да представи плана за действие в началото на 2021 г. и да получи одобрението му на най-високо политическо равнище на социалната среща на върха, която предстои да бъде организирана от португалското председателство на Съвета през май 2021 г. </w:t>
      </w:r>
    </w:p>
    <w:p w:rsidR="00CE0C02" w:rsidRPr="007D6282" w:rsidRDefault="00CE0C02">
      <w:pPr>
        <w:rPr>
          <w:bCs/>
          <w:u w:val="single"/>
          <w:lang w:val="en-GB"/>
        </w:rPr>
      </w:pPr>
    </w:p>
    <w:p w:rsidR="00EA2779" w:rsidRPr="007D6282" w:rsidRDefault="00B40809" w:rsidP="007D6282">
      <w:pPr>
        <w:rPr>
          <w:bCs/>
        </w:rPr>
      </w:pPr>
      <w:r>
        <w:t>Очевидно е, че местните и регионалните власти (МРВ) имат важна роля при определянето и изпълнението на политиките за заетост и социалните политики в ЕС. Различните региони бяха засегнати от предизвиканата от COVID-19 криза по много различни начини в зависимост от своята икономическа структура и експозиция на свързани със здравето рискове. МРВ могат да помогнат за разработването и прилагането на отговор на кризата, който ще се справи с предизвикателства отпреди и след кризата за социалното и териториалното сближаване. Поради това е необходимо да се включат МРВ, по-специално чрез:</w:t>
      </w:r>
    </w:p>
    <w:p w:rsidR="00CB78E1" w:rsidRPr="007D6282" w:rsidRDefault="00CB78E1" w:rsidP="007D6282">
      <w:pPr>
        <w:rPr>
          <w:bCs/>
          <w:u w:val="single"/>
          <w:lang w:val="en-GB"/>
        </w:rPr>
      </w:pPr>
    </w:p>
    <w:p w:rsidR="00CB78E1" w:rsidRPr="007D6282" w:rsidRDefault="00F771E0" w:rsidP="007D6282">
      <w:pPr>
        <w:pStyle w:val="ListParagraph"/>
        <w:numPr>
          <w:ilvl w:val="0"/>
          <w:numId w:val="19"/>
        </w:numPr>
        <w:spacing w:after="0" w:line="288" w:lineRule="auto"/>
        <w:ind w:left="360"/>
        <w:jc w:val="both"/>
      </w:pPr>
      <w:r>
        <w:rPr>
          <w:rFonts w:ascii="Times New Roman" w:hAnsi="Times New Roman"/>
        </w:rPr>
        <w:t>становището на Комитета на регионите относно „Силна социална Европа за справедливи промени“ (докладчик Anne Karjalainen (FI/ПЕС), приемане на пленарната сесия през октомври 2020 г.), което представлява общата реакция на КР на съобщението на Комисията;</w:t>
      </w:r>
    </w:p>
    <w:p w:rsidR="00421A56" w:rsidRPr="007D6282" w:rsidRDefault="00421A56" w:rsidP="007D6282">
      <w:pPr>
        <w:pStyle w:val="ListParagraph"/>
        <w:spacing w:after="0" w:line="288" w:lineRule="auto"/>
        <w:ind w:left="360"/>
        <w:jc w:val="both"/>
        <w:rPr>
          <w:bCs/>
        </w:rPr>
      </w:pPr>
    </w:p>
    <w:p w:rsidR="00176CAE" w:rsidRPr="007D6282" w:rsidRDefault="00176CAE" w:rsidP="007D6282">
      <w:pPr>
        <w:pStyle w:val="ListParagraph"/>
        <w:numPr>
          <w:ilvl w:val="0"/>
          <w:numId w:val="19"/>
        </w:numPr>
        <w:spacing w:after="0" w:line="288" w:lineRule="auto"/>
        <w:ind w:left="360"/>
        <w:jc w:val="both"/>
      </w:pPr>
      <w:r>
        <w:rPr>
          <w:rFonts w:ascii="Times New Roman" w:hAnsi="Times New Roman"/>
        </w:rPr>
        <w:t>становището на Комитета на регионите относно „План за бъдещето на лицата, полагащи грижи, и услугите за полагане на грижи — местни и регионални възможности в контекста на европейско предизвикателство“ (докладчик: очаква се потвърждение);</w:t>
      </w:r>
    </w:p>
    <w:p w:rsidR="00E136C4" w:rsidRPr="007D6282" w:rsidRDefault="00E136C4" w:rsidP="007D6282">
      <w:pPr>
        <w:pStyle w:val="ListParagraph"/>
        <w:spacing w:after="0" w:line="288" w:lineRule="auto"/>
        <w:ind w:left="360"/>
        <w:jc w:val="both"/>
      </w:pPr>
    </w:p>
    <w:p w:rsidR="00F771E0" w:rsidRPr="007D6282" w:rsidRDefault="00421A56" w:rsidP="007D6282">
      <w:pPr>
        <w:pStyle w:val="ListParagraph"/>
        <w:numPr>
          <w:ilvl w:val="0"/>
          <w:numId w:val="19"/>
        </w:numPr>
        <w:spacing w:after="0" w:line="288" w:lineRule="auto"/>
        <w:ind w:left="360"/>
        <w:jc w:val="both"/>
      </w:pPr>
      <w:r>
        <w:rPr>
          <w:rFonts w:ascii="Times New Roman" w:hAnsi="Times New Roman"/>
        </w:rPr>
        <w:t>Европейска седмица на регионите и градовете,</w:t>
      </w:r>
      <w:r>
        <w:rPr>
          <w:rFonts w:ascii="Times New Roman" w:hAnsi="Times New Roman"/>
          <w:color w:val="000000"/>
        </w:rPr>
        <w:t xml:space="preserve"> сесия 2020 г. относно „Социална сигурност за работещите през платформи — предизвикателства и възможности“ с участието на ГД „Трудова заетост, социални въпроси и приобщаване“;</w:t>
      </w:r>
    </w:p>
    <w:p w:rsidR="00267B85" w:rsidRPr="007D6282" w:rsidRDefault="00267B85" w:rsidP="007D6282">
      <w:pPr>
        <w:pStyle w:val="ListParagraph"/>
        <w:spacing w:after="0" w:line="288" w:lineRule="auto"/>
        <w:ind w:left="360"/>
        <w:jc w:val="both"/>
      </w:pPr>
    </w:p>
    <w:p w:rsidR="00512960" w:rsidRPr="007D6282" w:rsidRDefault="00F5129F" w:rsidP="007D6282">
      <w:pPr>
        <w:pStyle w:val="ListParagraph"/>
        <w:numPr>
          <w:ilvl w:val="0"/>
          <w:numId w:val="19"/>
        </w:numPr>
        <w:spacing w:after="0" w:line="288" w:lineRule="auto"/>
        <w:ind w:left="360"/>
        <w:jc w:val="both"/>
        <w:rPr>
          <w:b/>
          <w:u w:val="single"/>
        </w:rPr>
      </w:pPr>
      <w:r>
        <w:rPr>
          <w:rFonts w:ascii="Times New Roman" w:hAnsi="Times New Roman"/>
        </w:rPr>
        <w:t>заедно с португалското председателство на Съвета Комисията и КР ще проучат начините за участие на КР в социалната среща на върха, за да намери отражение териториалното измерение на изпълнението на Европейския стълба на социалните права.</w:t>
      </w:r>
    </w:p>
    <w:p w:rsidR="00151730" w:rsidRPr="007D6282" w:rsidRDefault="00151730" w:rsidP="007D6282">
      <w:pPr>
        <w:rPr>
          <w:lang w:val="en-GB"/>
        </w:rPr>
      </w:pPr>
    </w:p>
    <w:p w:rsidR="00EA2779" w:rsidRPr="007D6282" w:rsidRDefault="00EA2779" w:rsidP="00E53C17">
      <w:pPr>
        <w:pStyle w:val="Heading2"/>
        <w:keepNext/>
        <w:ind w:left="425" w:hanging="425"/>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lastRenderedPageBreak/>
        <w:t>2.2.</w:t>
      </w:r>
      <w:r>
        <w:rPr>
          <w:rFonts w:ascii="Times New Roman" w:hAnsi="Times New Roman"/>
          <w:b/>
          <w:sz w:val="24"/>
          <w:szCs w:val="24"/>
        </w:rPr>
        <w:tab/>
      </w:r>
      <w:r>
        <w:rPr>
          <w:rFonts w:ascii="Times New Roman" w:hAnsi="Times New Roman"/>
          <w:b/>
          <w:sz w:val="24"/>
          <w:szCs w:val="32"/>
        </w:rPr>
        <w:t>Подготовка на Европейския социален фонд плюс (ЕСФ+) и REACT-EU за предоставяне на подходящо финансиране за мерки в областта на младежката заетост</w:t>
      </w:r>
    </w:p>
    <w:p w:rsidR="00527019" w:rsidRPr="007D6282" w:rsidRDefault="00527019">
      <w:pPr>
        <w:keepNext/>
        <w:rPr>
          <w:lang w:val="en-GB"/>
        </w:rPr>
      </w:pPr>
    </w:p>
    <w:p w:rsidR="00527019" w:rsidRPr="007D6282" w:rsidRDefault="00527019" w:rsidP="007D6282">
      <w:pPr>
        <w:rPr>
          <w:bCs/>
        </w:rPr>
      </w:pPr>
      <w:r>
        <w:t>Много МРВ понастоящем са силно ангажирани с изготвянето на бъдещите програми по ЕСФ+ и с разработването на проекти, които да се възползват от финансиране по линия на ЕСФ+. По отношение на ЕСФ+ Комисията предложи финансирането, предназначено за мерки в областта на младежката заетост, да се увеличи в държавите членки, в които процентът на младите хора, незаети с работа, учене или обучение, е над средното равнище за Съюза</w:t>
      </w:r>
      <w:r w:rsidR="006E25E8" w:rsidRPr="007D6282">
        <w:rPr>
          <w:rStyle w:val="FootnoteReference"/>
          <w:bCs/>
          <w:sz w:val="24"/>
          <w:szCs w:val="24"/>
          <w:lang w:val="en-GB"/>
        </w:rPr>
        <w:footnoteReference w:id="4"/>
      </w:r>
      <w:r>
        <w:t>. Освен това мерки в областта на младежката заетост могат да се подпомагат и по линия на новата инициатива REACT-EU. Необходимостта от пълноценно използване на предимствата на тази допълнителна помощ е от съществено значение с оглед на настоящата пандемия и евентуалното ѝ въздействие върху младежката заетост.</w:t>
      </w:r>
    </w:p>
    <w:p w:rsidR="00CB78E1" w:rsidRPr="007D6282" w:rsidRDefault="00CB78E1">
      <w:pPr>
        <w:rPr>
          <w:bCs/>
          <w:u w:val="single"/>
          <w:lang w:val="en-GB"/>
        </w:rPr>
      </w:pPr>
    </w:p>
    <w:p w:rsidR="00AE28C2" w:rsidRPr="007D6282" w:rsidRDefault="00F52BD7">
      <w:pPr>
        <w:rPr>
          <w:bCs/>
        </w:rPr>
      </w:pPr>
      <w:r>
        <w:t>КР може да улесни обмена на информация и най-добри практики, що се отнася до финансирането от REACT-EU и ЕСФ+, предоставяно в подкрепа на мерки в областта на младежката заетост. Тази финансова подкрепа ще окаже принос към общата амбиция на ЕС за отделяне на най-малко 22 милиарда евро за младежката заетост</w:t>
      </w:r>
      <w:r w:rsidR="008911F1" w:rsidRPr="007D6282">
        <w:rPr>
          <w:rStyle w:val="FootnoteReference"/>
          <w:bCs/>
          <w:sz w:val="24"/>
          <w:szCs w:val="24"/>
          <w:lang w:val="en-GB"/>
        </w:rPr>
        <w:footnoteReference w:id="5"/>
      </w:r>
      <w:r>
        <w:t>, както и за превръщането на тази подкрепа във финансиращия елемент на укрепената гаранция за младежта</w:t>
      </w:r>
      <w:r w:rsidR="008911F1" w:rsidRPr="007D6282">
        <w:rPr>
          <w:rStyle w:val="FootnoteReference"/>
          <w:bCs/>
          <w:sz w:val="24"/>
          <w:szCs w:val="24"/>
          <w:lang w:val="en-GB"/>
        </w:rPr>
        <w:footnoteReference w:id="6"/>
      </w:r>
      <w:r>
        <w:t xml:space="preserve">. </w:t>
      </w:r>
    </w:p>
    <w:p w:rsidR="00AE28C2" w:rsidRPr="007D6282" w:rsidRDefault="00AE28C2">
      <w:pPr>
        <w:rPr>
          <w:bCs/>
          <w:u w:val="single"/>
          <w:lang w:val="en-GB"/>
        </w:rPr>
      </w:pPr>
    </w:p>
    <w:p w:rsidR="006106B7" w:rsidRPr="007D6282" w:rsidRDefault="002867F1">
      <w:pPr>
        <w:rPr>
          <w:bCs/>
        </w:rPr>
      </w:pPr>
      <w:r>
        <w:t xml:space="preserve">В духа на принципа на партньорство КР може да насърчи диалога между МРВ при разработването на предложения за борба с младежката безработица в тясно сътрудничество със социалните партньори и да се превърне в платформа за обмен на идеи и политики между регионите и градовете. </w:t>
      </w:r>
    </w:p>
    <w:p w:rsidR="006106B7" w:rsidRPr="007D6282" w:rsidRDefault="006106B7">
      <w:pPr>
        <w:rPr>
          <w:bCs/>
          <w:lang w:val="en-GB"/>
        </w:rPr>
      </w:pPr>
    </w:p>
    <w:p w:rsidR="00527019" w:rsidRPr="003814FB" w:rsidRDefault="006106B7">
      <w:r>
        <w:t xml:space="preserve">По този начин КР може да създаде възможност за съдържателни последващи действия във връзка със </w:t>
      </w:r>
      <w:r>
        <w:rPr>
          <w:color w:val="000000"/>
        </w:rPr>
        <w:t xml:space="preserve">съобщението на Комисията </w:t>
      </w:r>
      <w:r>
        <w:t>„Подкрепа за младежката заетост: мост към работните места за следващото поколение“</w:t>
      </w:r>
      <w:r w:rsidR="00150CCB" w:rsidRPr="007D6282">
        <w:rPr>
          <w:rStyle w:val="FootnoteReference"/>
          <w:sz w:val="24"/>
          <w:szCs w:val="24"/>
          <w:lang w:val="en-GB"/>
        </w:rPr>
        <w:footnoteReference w:id="7"/>
      </w:r>
      <w:r>
        <w:t xml:space="preserve"> и за провеждането на по-нататъшни срещи между ГД „Трудова заетост, социални въпроси и приобщаване“ и КР. </w:t>
      </w:r>
    </w:p>
    <w:p w:rsidR="00F165DD" w:rsidRPr="007D6282" w:rsidRDefault="00F165DD">
      <w:pPr>
        <w:rPr>
          <w:bCs/>
          <w:lang w:val="en-GB"/>
        </w:rPr>
      </w:pPr>
    </w:p>
    <w:p w:rsidR="00CB78E1" w:rsidRPr="007D6282" w:rsidRDefault="00CB78E1" w:rsidP="00E53C17">
      <w:pPr>
        <w:pStyle w:val="Heading2"/>
        <w:keepNext/>
        <w:ind w:left="567" w:hanging="567"/>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lastRenderedPageBreak/>
        <w:t xml:space="preserve">2.3. </w:t>
      </w:r>
      <w:r>
        <w:rPr>
          <w:rFonts w:ascii="Times New Roman" w:hAnsi="Times New Roman"/>
          <w:b/>
          <w:sz w:val="24"/>
          <w:szCs w:val="24"/>
        </w:rPr>
        <w:tab/>
      </w:r>
      <w:r>
        <w:rPr>
          <w:rFonts w:ascii="Times New Roman" w:hAnsi="Times New Roman"/>
          <w:b/>
          <w:sz w:val="24"/>
          <w:szCs w:val="32"/>
        </w:rPr>
        <w:t xml:space="preserve">Програма за придобиване на умения </w:t>
      </w:r>
    </w:p>
    <w:p w:rsidR="006106B7" w:rsidRPr="007D6282" w:rsidRDefault="006106B7" w:rsidP="007D6282">
      <w:pPr>
        <w:keepNext/>
        <w:rPr>
          <w:rFonts w:eastAsiaTheme="majorEastAsia"/>
          <w:lang w:val="en-GB"/>
        </w:rPr>
      </w:pPr>
    </w:p>
    <w:p w:rsidR="006106B7" w:rsidRPr="007D6282" w:rsidRDefault="00EE2DE9" w:rsidP="007D6282">
      <w:r>
        <w:t>Въздействието на пандемията върху начина, по който работим, и двойният преход към цифрова и зелена икономика силно изместват фокуса на парадигмата в ЕС върху уменията. Поради това е важно да се насърчи и да се осъществи връзка с местната перспектива по отношение на уменията, формулирана в новата Европейска програма за умения за постигане на устойчива конкурентоспособност, социална справедливост и издръжливост</w:t>
      </w:r>
      <w:r w:rsidR="002867F1" w:rsidRPr="007D6282">
        <w:rPr>
          <w:rStyle w:val="FootnoteReference"/>
          <w:bCs/>
          <w:sz w:val="24"/>
          <w:szCs w:val="24"/>
          <w:lang w:val="en-GB"/>
        </w:rPr>
        <w:footnoteReference w:id="8"/>
      </w:r>
      <w:r>
        <w:t>. Работата на местно равнище може да повиши в максимална степен участието на местни партньори, като например МСП, като същевременно се постигне по-добро разбиране на нуждите на местния пазар на труда и се проучат полезните взаимодействия с други местни и регионални стратегии. Освен това местната и регионалната перспектива може да спомогне за създаването на качествени и количествени прогнози по отношение на уменията, които от своя страна да послужат за разработването на модел за прогнозиране на уменията или на метод, който да се използва за бъдещо планиране или формулиране на политики.</w:t>
      </w:r>
    </w:p>
    <w:p w:rsidR="006106B7" w:rsidRPr="007D6282" w:rsidRDefault="006106B7">
      <w:pPr>
        <w:rPr>
          <w:bCs/>
          <w:lang w:val="en-GB"/>
        </w:rPr>
      </w:pPr>
    </w:p>
    <w:p w:rsidR="00421A56" w:rsidRPr="007D6282" w:rsidRDefault="00150CCB" w:rsidP="007D6282">
      <w:pPr>
        <w:rPr>
          <w:bCs/>
        </w:rPr>
      </w:pPr>
      <w:r>
        <w:t>По-нататъшното сътрудничество може да бъде постигнато посредством:</w:t>
      </w:r>
    </w:p>
    <w:p w:rsidR="000A7400" w:rsidRPr="007D6282" w:rsidRDefault="000A7400" w:rsidP="007D6282">
      <w:pPr>
        <w:pStyle w:val="ListParagraph"/>
        <w:spacing w:after="0" w:line="288" w:lineRule="auto"/>
        <w:ind w:left="360"/>
        <w:jc w:val="both"/>
        <w:rPr>
          <w:rStyle w:val="normaltextrun"/>
        </w:rPr>
      </w:pPr>
    </w:p>
    <w:p w:rsidR="000A7400" w:rsidRPr="007D6282" w:rsidRDefault="00151730" w:rsidP="007D6282">
      <w:pPr>
        <w:pStyle w:val="ListParagraph"/>
        <w:numPr>
          <w:ilvl w:val="0"/>
          <w:numId w:val="32"/>
        </w:numPr>
        <w:spacing w:after="0" w:line="288" w:lineRule="auto"/>
        <w:jc w:val="both"/>
        <w:rPr>
          <w:rStyle w:val="normaltextrun"/>
        </w:rPr>
      </w:pPr>
      <w:r>
        <w:rPr>
          <w:rStyle w:val="normaltextrun"/>
        </w:rPr>
        <w:t>съвместното насърчаване на изпълнението на Пакта за умения като начин за изграждане на партньорства между регионите, промишлеността и организациите, предоставящи обучение, по отношение на повишаването на квалификацията и преквалификацията на местното население;</w:t>
      </w:r>
    </w:p>
    <w:p w:rsidR="000A7400" w:rsidRPr="007D6282" w:rsidRDefault="000A7400" w:rsidP="007D6282">
      <w:pPr>
        <w:pStyle w:val="ListParagraph"/>
        <w:spacing w:after="0" w:line="288" w:lineRule="auto"/>
        <w:ind w:left="360"/>
        <w:jc w:val="both"/>
        <w:rPr>
          <w:rStyle w:val="normaltextrun"/>
        </w:rPr>
      </w:pPr>
    </w:p>
    <w:p w:rsidR="00421A56" w:rsidRPr="007D6282" w:rsidRDefault="000A7400" w:rsidP="007D6282">
      <w:pPr>
        <w:pStyle w:val="ListParagraph"/>
        <w:numPr>
          <w:ilvl w:val="0"/>
          <w:numId w:val="32"/>
        </w:numPr>
        <w:spacing w:after="0" w:line="288" w:lineRule="auto"/>
        <w:jc w:val="both"/>
        <w:rPr>
          <w:rStyle w:val="normaltextrun"/>
        </w:rPr>
      </w:pPr>
      <w:r>
        <w:rPr>
          <w:rStyle w:val="normaltextrun"/>
        </w:rPr>
        <w:t>конференцията на високо равнище по въпросите на професионалните практики „Ролята на градовете и регионите за предоставянето на висококачествени професионални практики“, организирана съвместно с ГД „Трудова заетост, социални въпроси и приобщаване“, планирана за пролетта на 2021 г. поради COVID-19, с допълнителни онлайн прояви в рамките на пътната карта, предшестващи основната конференция:</w:t>
      </w:r>
    </w:p>
    <w:p w:rsidR="000A7400" w:rsidRPr="007D6282" w:rsidRDefault="000A7400">
      <w:pPr>
        <w:rPr>
          <w:rStyle w:val="normaltextrun"/>
          <w:lang w:val="en-GB"/>
        </w:rPr>
      </w:pPr>
    </w:p>
    <w:tbl>
      <w:tblPr>
        <w:tblW w:w="0" w:type="auto"/>
        <w:tblInd w:w="416" w:type="dxa"/>
        <w:tblCellMar>
          <w:left w:w="0" w:type="dxa"/>
          <w:right w:w="0" w:type="dxa"/>
        </w:tblCellMar>
        <w:tblLook w:val="04A0" w:firstRow="1" w:lastRow="0" w:firstColumn="1" w:lastColumn="0" w:noHBand="0" w:noVBand="1"/>
      </w:tblPr>
      <w:tblGrid>
        <w:gridCol w:w="2703"/>
        <w:gridCol w:w="3817"/>
        <w:gridCol w:w="2069"/>
      </w:tblGrid>
      <w:tr w:rsidR="00E70321">
        <w:tc>
          <w:tcPr>
            <w:tcW w:w="2703" w:type="dxa"/>
            <w:tcBorders>
              <w:top w:val="single" w:sz="8" w:space="0" w:color="auto"/>
              <w:left w:val="single" w:sz="8" w:space="0" w:color="auto"/>
              <w:bottom w:val="single" w:sz="8" w:space="0" w:color="auto"/>
              <w:right w:val="single" w:sz="8" w:space="0" w:color="auto"/>
            </w:tcBorders>
            <w:shd w:val="clear" w:color="auto" w:fill="5B9BD5"/>
            <w:tcMar>
              <w:top w:w="0" w:type="dxa"/>
              <w:left w:w="108" w:type="dxa"/>
              <w:bottom w:w="0" w:type="dxa"/>
              <w:right w:w="108" w:type="dxa"/>
            </w:tcMar>
            <w:hideMark/>
          </w:tcPr>
          <w:p w:rsidR="000A7400" w:rsidRPr="007D6282" w:rsidRDefault="000A7400" w:rsidP="00E53C17">
            <w:pPr>
              <w:keepNext/>
              <w:rPr>
                <w:b/>
                <w:bCs/>
                <w:color w:val="FFFFFF"/>
              </w:rPr>
            </w:pPr>
            <w:r>
              <w:rPr>
                <w:b/>
                <w:bCs/>
                <w:color w:val="FFFFFF"/>
              </w:rPr>
              <w:lastRenderedPageBreak/>
              <w:t>Дата</w:t>
            </w:r>
          </w:p>
        </w:tc>
        <w:tc>
          <w:tcPr>
            <w:tcW w:w="3817"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7D6282" w:rsidRDefault="000A7400" w:rsidP="00E53C17">
            <w:pPr>
              <w:keepNext/>
              <w:rPr>
                <w:rFonts w:ascii="Calibri" w:hAnsi="Calibri" w:cs="Calibri"/>
                <w:b/>
                <w:bCs/>
                <w:color w:val="FFFFFF"/>
              </w:rPr>
            </w:pPr>
            <w:r>
              <w:rPr>
                <w:b/>
                <w:bCs/>
                <w:color w:val="FFFFFF"/>
              </w:rPr>
              <w:t>Уебинари/Конференция</w:t>
            </w:r>
          </w:p>
        </w:tc>
        <w:tc>
          <w:tcPr>
            <w:tcW w:w="2069" w:type="dxa"/>
            <w:tcBorders>
              <w:top w:val="single" w:sz="8" w:space="0" w:color="auto"/>
              <w:left w:val="nil"/>
              <w:bottom w:val="single" w:sz="8" w:space="0" w:color="auto"/>
              <w:right w:val="single" w:sz="8" w:space="0" w:color="auto"/>
            </w:tcBorders>
            <w:shd w:val="clear" w:color="auto" w:fill="5B9BD5"/>
            <w:tcMar>
              <w:top w:w="0" w:type="dxa"/>
              <w:left w:w="108" w:type="dxa"/>
              <w:bottom w:w="0" w:type="dxa"/>
              <w:right w:w="108" w:type="dxa"/>
            </w:tcMar>
            <w:hideMark/>
          </w:tcPr>
          <w:p w:rsidR="000A7400" w:rsidRPr="007D6282" w:rsidRDefault="000A7400" w:rsidP="00E53C17">
            <w:pPr>
              <w:keepNext/>
              <w:rPr>
                <w:b/>
                <w:bCs/>
                <w:color w:val="FFFFFF"/>
              </w:rPr>
            </w:pPr>
            <w:r>
              <w:rPr>
                <w:b/>
                <w:bCs/>
                <w:color w:val="FFFFFF"/>
              </w:rPr>
              <w:t>Тема</w:t>
            </w:r>
          </w:p>
        </w:tc>
      </w:tr>
      <w:tr w:rsidR="00E70321">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sidP="00E53C17">
            <w:pPr>
              <w:keepNext/>
            </w:pPr>
            <w:r>
              <w:t>29 септември 2020 г., вторник</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sidP="00E53C17">
            <w:pPr>
              <w:keepNext/>
            </w:pPr>
            <w:r>
              <w:t xml:space="preserve">1-ви онлайн уебинар: </w:t>
            </w:r>
            <w:r>
              <w:rPr>
                <w:i/>
                <w:iCs/>
              </w:rPr>
              <w:t>Въздействието на COVID-19 върху професионалните практики. Ролята на регионите и на градовете.</w:t>
            </w:r>
            <w:r>
              <w:t xml:space="preserve"> </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sidP="00E53C17">
            <w:pPr>
              <w:keepNext/>
            </w:pPr>
            <w:r>
              <w:t>Акцентиране върху реакцията на COVID-19</w:t>
            </w:r>
          </w:p>
        </w:tc>
      </w:tr>
      <w:tr w:rsidR="00E70321">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sidP="00E53C17">
            <w:pPr>
              <w:keepNext/>
            </w:pPr>
            <w:r>
              <w:t>януари/февруари 2021 г.</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sidP="00E53C17">
            <w:pPr>
              <w:keepNext/>
            </w:pPr>
            <w:r>
              <w:t xml:space="preserve">2-ри онлайн уебинар: </w:t>
            </w:r>
            <w:r>
              <w:rPr>
                <w:i/>
                <w:iCs/>
              </w:rPr>
              <w:t>Двойният преход: ролята на градовете за предоставянето на висококачествени професионални практики</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sidP="00E53C17">
            <w:pPr>
              <w:keepNext/>
            </w:pPr>
            <w:r>
              <w:t>Акцентиране върху двойния екологичен и цифров преход</w:t>
            </w:r>
          </w:p>
        </w:tc>
      </w:tr>
      <w:tr w:rsidR="00E70321">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sidP="00E53C17">
            <w:pPr>
              <w:keepNext/>
            </w:pPr>
            <w:r>
              <w:t>март/април 2021 г.</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sidP="00E53C17">
            <w:pPr>
              <w:keepNext/>
            </w:pPr>
            <w:r>
              <w:t xml:space="preserve">3-ти онлайн уебинар: </w:t>
            </w:r>
            <w:r>
              <w:rPr>
                <w:i/>
                <w:iCs/>
              </w:rPr>
              <w:t>Двойният преход: ролята на регионите за предоставянето на висококачествени професионални практики</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sidP="00E53C17">
            <w:pPr>
              <w:keepNext/>
            </w:pPr>
            <w:r>
              <w:t xml:space="preserve">Акцентиране върху двойния екологичен и цифров преход </w:t>
            </w:r>
          </w:p>
        </w:tc>
      </w:tr>
      <w:tr w:rsidR="00E70321">
        <w:tc>
          <w:tcPr>
            <w:tcW w:w="2703"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rsidR="000A7400" w:rsidRPr="007D6282" w:rsidRDefault="000A7400" w:rsidP="00E53C17">
            <w:pPr>
              <w:keepNext/>
            </w:pPr>
            <w:r>
              <w:t>3 и 4 юни 2021 г. (очаква се потвърждение)</w:t>
            </w:r>
          </w:p>
        </w:tc>
        <w:tc>
          <w:tcPr>
            <w:tcW w:w="3817"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7D6282" w:rsidRDefault="000A7400" w:rsidP="00E53C17">
            <w:pPr>
              <w:keepNext/>
            </w:pPr>
            <w:r>
              <w:t xml:space="preserve">Основна конференция </w:t>
            </w:r>
          </w:p>
        </w:tc>
        <w:tc>
          <w:tcPr>
            <w:tcW w:w="2069" w:type="dxa"/>
            <w:tcBorders>
              <w:top w:val="nil"/>
              <w:left w:val="nil"/>
              <w:bottom w:val="single" w:sz="8" w:space="0" w:color="auto"/>
              <w:right w:val="single" w:sz="8" w:space="0" w:color="auto"/>
            </w:tcBorders>
            <w:shd w:val="clear" w:color="auto" w:fill="DEEAF6"/>
            <w:tcMar>
              <w:top w:w="0" w:type="dxa"/>
              <w:left w:w="108" w:type="dxa"/>
              <w:bottom w:w="0" w:type="dxa"/>
              <w:right w:w="108" w:type="dxa"/>
            </w:tcMar>
            <w:hideMark/>
          </w:tcPr>
          <w:p w:rsidR="000A7400" w:rsidRPr="007D6282" w:rsidRDefault="000A7400" w:rsidP="00E53C17">
            <w:pPr>
              <w:keepNext/>
            </w:pPr>
            <w:r>
              <w:t>очаква се потвърждение</w:t>
            </w:r>
          </w:p>
        </w:tc>
      </w:tr>
      <w:tr w:rsidR="00E70321">
        <w:tc>
          <w:tcPr>
            <w:tcW w:w="270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A7400" w:rsidRPr="007D6282" w:rsidRDefault="000A7400" w:rsidP="00E53C17">
            <w:pPr>
              <w:keepNext/>
            </w:pPr>
            <w:r>
              <w:t>очаква се потвърждение</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sidP="00E53C17">
            <w:pPr>
              <w:keepNext/>
            </w:pPr>
            <w:r>
              <w:t>Последващи (онлайн) срещи</w:t>
            </w:r>
          </w:p>
        </w:tc>
        <w:tc>
          <w:tcPr>
            <w:tcW w:w="2069" w:type="dxa"/>
            <w:tcBorders>
              <w:top w:val="nil"/>
              <w:left w:val="nil"/>
              <w:bottom w:val="single" w:sz="8" w:space="0" w:color="auto"/>
              <w:right w:val="single" w:sz="8" w:space="0" w:color="auto"/>
            </w:tcBorders>
            <w:tcMar>
              <w:top w:w="0" w:type="dxa"/>
              <w:left w:w="108" w:type="dxa"/>
              <w:bottom w:w="0" w:type="dxa"/>
              <w:right w:w="108" w:type="dxa"/>
            </w:tcMar>
            <w:hideMark/>
          </w:tcPr>
          <w:p w:rsidR="000A7400" w:rsidRPr="007D6282" w:rsidRDefault="000A7400" w:rsidP="00E53C17">
            <w:pPr>
              <w:keepNext/>
            </w:pPr>
            <w:r>
              <w:t>очаква се потвърждение</w:t>
            </w:r>
          </w:p>
        </w:tc>
      </w:tr>
    </w:tbl>
    <w:p w:rsidR="002D435E" w:rsidRPr="007D6282" w:rsidRDefault="002D435E" w:rsidP="007D6282">
      <w:pPr>
        <w:pStyle w:val="ListParagraph"/>
        <w:spacing w:after="0" w:line="288" w:lineRule="auto"/>
        <w:ind w:left="360"/>
        <w:jc w:val="both"/>
        <w:rPr>
          <w:rStyle w:val="normaltextrun"/>
        </w:rPr>
      </w:pPr>
    </w:p>
    <w:p w:rsidR="002D435E" w:rsidRPr="007D6282" w:rsidRDefault="00151730" w:rsidP="007D6282">
      <w:pPr>
        <w:pStyle w:val="ListParagraph"/>
        <w:numPr>
          <w:ilvl w:val="0"/>
          <w:numId w:val="32"/>
        </w:numPr>
        <w:spacing w:after="0" w:line="288" w:lineRule="auto"/>
        <w:jc w:val="both"/>
        <w:rPr>
          <w:rFonts w:ascii="Times New Roman" w:hAnsi="Times New Roman" w:cs="Times New Roman"/>
        </w:rPr>
      </w:pPr>
      <w:r>
        <w:rPr>
          <w:rFonts w:ascii="Times New Roman" w:hAnsi="Times New Roman"/>
        </w:rPr>
        <w:t xml:space="preserve">по-нататъшното сътрудничество ще бъде осъществено като част от изготвянето на становище относно Европейска програма за умения за постигане на устойчива конкурентоспособност, социална справедливост и издръжливост (докладчик Csaba Borboly (RO/ЕНП); </w:t>
      </w:r>
    </w:p>
    <w:p w:rsidR="00F165DD" w:rsidRPr="007D6282" w:rsidRDefault="00F165DD" w:rsidP="007D6282">
      <w:pPr>
        <w:pStyle w:val="ListParagraph"/>
        <w:spacing w:after="0" w:line="288" w:lineRule="auto"/>
        <w:ind w:left="360"/>
        <w:jc w:val="both"/>
      </w:pPr>
    </w:p>
    <w:p w:rsidR="00176CAE" w:rsidRPr="007D6282" w:rsidRDefault="00151730" w:rsidP="007D6282">
      <w:pPr>
        <w:pStyle w:val="ListParagraph"/>
        <w:numPr>
          <w:ilvl w:val="0"/>
          <w:numId w:val="32"/>
        </w:numPr>
        <w:spacing w:after="0" w:line="288" w:lineRule="auto"/>
        <w:jc w:val="both"/>
        <w:rPr>
          <w:rFonts w:ascii="Times New Roman" w:hAnsi="Times New Roman" w:cs="Times New Roman"/>
        </w:rPr>
      </w:pPr>
      <w:r>
        <w:rPr>
          <w:rFonts w:ascii="Times New Roman" w:hAnsi="Times New Roman"/>
        </w:rPr>
        <w:t>сътрудничество относно Европейския алианс за професионална подготовка. КР и Европейският алианс за професионална подготовка биха могли да продължат да работят по един от приоритетите на обновения алианс „Мобилизиране на местните и регионалните власти като катализатори за чиракуване в местната бизнес среда“. Пример за това е участието на новата Мрежа на градовете за професионални практики в съвместните уебинари на Европейския алианс за професионална подготовка и КР. Една от основните цели на мрежата ще бъде да се повиши осведомеността за потенциала, с който разполагат градовете, за да оказват подкрепа за професионални практики. Накрая, чрез мрежата градовете ще могат да се учат един от друг, да си сътрудничат, да разработват инструменти, да обменят добри практики и да предоставят и получават техническа помощ и помощ в областта на политиките.   </w:t>
      </w:r>
    </w:p>
    <w:p w:rsidR="00C34231" w:rsidRPr="003814FB" w:rsidRDefault="00C34231">
      <w:pPr>
        <w:rPr>
          <w:rFonts w:eastAsiaTheme="majorEastAsia"/>
          <w:lang w:val="en-GB"/>
        </w:rPr>
      </w:pPr>
    </w:p>
    <w:p w:rsidR="003D64D4" w:rsidRPr="007D6282" w:rsidRDefault="00025C0A" w:rsidP="007D6282">
      <w:pPr>
        <w:pStyle w:val="Heading2"/>
        <w:ind w:left="567" w:hanging="567"/>
        <w:jc w:val="both"/>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 xml:space="preserve">2.4. </w:t>
      </w:r>
      <w:r>
        <w:rPr>
          <w:rFonts w:ascii="Times New Roman" w:hAnsi="Times New Roman"/>
          <w:b/>
          <w:sz w:val="24"/>
          <w:szCs w:val="24"/>
        </w:rPr>
        <w:tab/>
      </w:r>
      <w:r>
        <w:rPr>
          <w:rFonts w:ascii="Times New Roman" w:hAnsi="Times New Roman"/>
          <w:b/>
          <w:sz w:val="24"/>
          <w:szCs w:val="32"/>
        </w:rPr>
        <w:t>Концепция за подкрепени от ЕС „европейски местни панаири за работни места“ за подпомагане на заетостта на местно равнище</w:t>
      </w:r>
    </w:p>
    <w:p w:rsidR="00CE5349" w:rsidRPr="007D6282" w:rsidRDefault="00CE5349">
      <w:pPr>
        <w:keepNext/>
        <w:rPr>
          <w:lang w:val="en-GB"/>
        </w:rPr>
      </w:pPr>
    </w:p>
    <w:p w:rsidR="00CC2877" w:rsidRPr="003814FB" w:rsidRDefault="00394636" w:rsidP="007D6282">
      <w:r>
        <w:t xml:space="preserve">За да се подобри съответствието на работните места и уменията беше възприета идеята да се разгледат възможностите за съвместно организиране на „европейски местни панаири за </w:t>
      </w:r>
      <w:r>
        <w:lastRenderedPageBreak/>
        <w:t xml:space="preserve">работни места“ в цяла Европа. Солун ще поеме доброволно домакинството на такъв „европейски местен панаир за работни места“ при първа възможност. Тази проява може да се превърне в модел за подобни панаири за работни места и в други региони на ЕС. КР и ГД „Трудова заетост, социални въпроси и приобщаване“ ще си сътрудничат във връзка с тази концепция, включително по създаването, и нейното изпълнение, както и по отношение на партньорите, финансирането и т.н., които ще бъдат одобрявани отделно. </w:t>
      </w:r>
    </w:p>
    <w:p w:rsidR="00FE1A83" w:rsidRPr="003814FB" w:rsidRDefault="00FE1A83" w:rsidP="007D6282">
      <w:pPr>
        <w:rPr>
          <w:lang w:val="en-GB"/>
        </w:rPr>
      </w:pPr>
    </w:p>
    <w:p w:rsidR="00DC5206" w:rsidRPr="007D6282" w:rsidRDefault="00455FAA" w:rsidP="007D6282">
      <w:pPr>
        <w:pStyle w:val="Heading3"/>
        <w:rPr>
          <w:rFonts w:asciiTheme="majorHAnsi" w:hAnsiTheme="majorHAnsi"/>
          <w:color w:val="365F91" w:themeColor="accent1" w:themeShade="BF"/>
        </w:rPr>
      </w:pPr>
      <w:r>
        <w:rPr>
          <w:rFonts w:ascii="Times New Roman" w:hAnsi="Times New Roman"/>
          <w:b/>
          <w:sz w:val="24"/>
          <w:szCs w:val="24"/>
        </w:rPr>
        <w:t>2.4.1.</w:t>
      </w:r>
      <w:r>
        <w:rPr>
          <w:rFonts w:ascii="Times New Roman" w:hAnsi="Times New Roman"/>
          <w:b/>
          <w:sz w:val="24"/>
          <w:szCs w:val="24"/>
        </w:rPr>
        <w:tab/>
        <w:t>Какво е направено досега</w:t>
      </w:r>
    </w:p>
    <w:p w:rsidR="00CC2877" w:rsidRPr="003814FB" w:rsidRDefault="00CC2877">
      <w:pPr>
        <w:keepNext/>
        <w:rPr>
          <w:lang w:val="en-GB"/>
        </w:rPr>
      </w:pPr>
    </w:p>
    <w:p w:rsidR="00CC2877" w:rsidRPr="007D6282" w:rsidRDefault="00DF7306" w:rsidP="007D6282">
      <w:pPr>
        <w:pStyle w:val="ListParagraph"/>
        <w:numPr>
          <w:ilvl w:val="0"/>
          <w:numId w:val="35"/>
        </w:numPr>
        <w:spacing w:after="0" w:line="288" w:lineRule="auto"/>
        <w:jc w:val="both"/>
      </w:pPr>
      <w:r>
        <w:rPr>
          <w:rFonts w:ascii="Times New Roman" w:hAnsi="Times New Roman"/>
        </w:rPr>
        <w:t>Мрежата от европейски служби по заетостта (EURES) вече организира „Европейски дни на заетостта“ за насърчаване на трудовата мобилност в ЕС и за осигуряване на съответствие на уменията на кандидатите с потребностите на работодателите в други държави членки (възпроизвеждането на такива прояви, свързани с мобилността, не би донесло добавена стойност);</w:t>
      </w:r>
    </w:p>
    <w:p w:rsidR="00CC2877" w:rsidRPr="007D6282" w:rsidRDefault="00CC2877" w:rsidP="007D6282">
      <w:pPr>
        <w:pStyle w:val="ListParagraph"/>
        <w:spacing w:after="0" w:line="288" w:lineRule="auto"/>
        <w:ind w:left="360"/>
        <w:jc w:val="both"/>
      </w:pPr>
    </w:p>
    <w:p w:rsidR="00CC2877" w:rsidRPr="007D6282" w:rsidRDefault="00501E02" w:rsidP="007D6282">
      <w:pPr>
        <w:pStyle w:val="ListParagraph"/>
        <w:numPr>
          <w:ilvl w:val="0"/>
          <w:numId w:val="35"/>
        </w:numPr>
        <w:spacing w:after="0" w:line="288" w:lineRule="auto"/>
        <w:jc w:val="both"/>
      </w:pPr>
      <w:r>
        <w:rPr>
          <w:rFonts w:ascii="Times New Roman" w:hAnsi="Times New Roman"/>
        </w:rPr>
        <w:t>Няколко проекта на ЕС са насочени към борбата с безработицата; освен това съществуват и национални програми със същата цел;</w:t>
      </w:r>
    </w:p>
    <w:p w:rsidR="00CC2877" w:rsidRPr="007D6282" w:rsidRDefault="00CC2877" w:rsidP="007D6282">
      <w:pPr>
        <w:pStyle w:val="ListParagraph"/>
        <w:spacing w:after="0" w:line="288" w:lineRule="auto"/>
        <w:ind w:left="360"/>
        <w:jc w:val="both"/>
      </w:pPr>
    </w:p>
    <w:p w:rsidR="00CC2877" w:rsidRPr="007D6282" w:rsidRDefault="002867F1" w:rsidP="007D6282">
      <w:pPr>
        <w:pStyle w:val="ListParagraph"/>
        <w:numPr>
          <w:ilvl w:val="0"/>
          <w:numId w:val="35"/>
        </w:numPr>
        <w:spacing w:after="0" w:line="288" w:lineRule="auto"/>
        <w:jc w:val="both"/>
      </w:pPr>
      <w:r>
        <w:rPr>
          <w:rFonts w:ascii="Times New Roman" w:hAnsi="Times New Roman"/>
        </w:rPr>
        <w:t>ЕСФ и ЕСФ+ са основният инструмент за финансиране на местните стратегии за заетост и за насърчаване на обучението, повишаването на квалификацията и преквалификацията.</w:t>
      </w:r>
    </w:p>
    <w:p w:rsidR="00CC2877" w:rsidRPr="007D6282" w:rsidRDefault="00CC2877" w:rsidP="007D6282">
      <w:pPr>
        <w:pStyle w:val="ListParagraph"/>
        <w:spacing w:after="0" w:line="288" w:lineRule="auto"/>
        <w:ind w:left="360"/>
        <w:jc w:val="both"/>
      </w:pPr>
    </w:p>
    <w:p w:rsidR="00CC2877" w:rsidRPr="007D6282" w:rsidRDefault="00DF7306">
      <w:pPr>
        <w:numPr>
          <w:ilvl w:val="0"/>
          <w:numId w:val="35"/>
        </w:numPr>
        <w:rPr>
          <w:rFonts w:eastAsia="Times New Roman"/>
          <w:sz w:val="24"/>
          <w:szCs w:val="24"/>
        </w:rPr>
      </w:pPr>
      <w:r>
        <w:t>Програмата на Европейския съюз за заетост и социални иновации (EaSI) (2014—2020 г.) има три оси („Прогрес за модернизиране на службите по заетостта и социалните служби“, „EURES за трудова мобилност“ и „Микрофинансиране и социално предприемачество“, чрез която се предоставя микрокредитиране на уязвими групи и предприятия и се подпомага социалното предприемачество). InvestEU ще предоставя подобни възможности от 2021 г.</w:t>
      </w:r>
    </w:p>
    <w:p w:rsidR="00FE1A83" w:rsidRPr="007D6282" w:rsidRDefault="00FE1A83" w:rsidP="007D6282">
      <w:pPr>
        <w:rPr>
          <w:lang w:val="en-GB"/>
        </w:rPr>
      </w:pPr>
    </w:p>
    <w:p w:rsidR="00CC2877" w:rsidRPr="007D6282" w:rsidRDefault="00455FAA" w:rsidP="007D6282">
      <w:pPr>
        <w:pStyle w:val="Heading3"/>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2.4.2.</w:t>
      </w:r>
      <w:r>
        <w:rPr>
          <w:rFonts w:ascii="Times New Roman" w:hAnsi="Times New Roman"/>
          <w:b/>
          <w:sz w:val="24"/>
          <w:szCs w:val="24"/>
        </w:rPr>
        <w:tab/>
      </w:r>
      <w:r>
        <w:rPr>
          <w:rFonts w:ascii="Times New Roman" w:hAnsi="Times New Roman"/>
          <w:b/>
          <w:sz w:val="24"/>
          <w:szCs w:val="32"/>
        </w:rPr>
        <w:t>Добавената стойност на „европейските местни панаири за работни места“</w:t>
      </w:r>
    </w:p>
    <w:p w:rsidR="00CC2877" w:rsidRPr="007D6282" w:rsidRDefault="00CC2877" w:rsidP="007D6282">
      <w:pPr>
        <w:keepNext/>
        <w:rPr>
          <w:lang w:val="en-GB"/>
        </w:rPr>
      </w:pPr>
    </w:p>
    <w:p w:rsidR="00CC2877" w:rsidRPr="007D6282" w:rsidRDefault="00CC2877" w:rsidP="007D6282">
      <w:pPr>
        <w:pStyle w:val="ListParagraph"/>
        <w:spacing w:after="0" w:line="288" w:lineRule="auto"/>
        <w:ind w:left="0"/>
        <w:jc w:val="both"/>
      </w:pPr>
      <w:r>
        <w:rPr>
          <w:rFonts w:ascii="Times New Roman" w:hAnsi="Times New Roman"/>
        </w:rPr>
        <w:t>Като се имат предвид вече съществуващите европейски и други инициативи, специфичната добавена стойност на „европейските местни панаири за работни места“ ще бъде следната:</w:t>
      </w:r>
    </w:p>
    <w:p w:rsidR="00100433" w:rsidRPr="007D6282" w:rsidRDefault="00100433" w:rsidP="007D6282">
      <w:pPr>
        <w:pStyle w:val="ListParagraph"/>
        <w:spacing w:after="0" w:line="288" w:lineRule="auto"/>
        <w:ind w:left="0"/>
        <w:jc w:val="both"/>
      </w:pPr>
    </w:p>
    <w:p w:rsidR="00100433" w:rsidRPr="007D6282" w:rsidRDefault="00100433" w:rsidP="007D6282">
      <w:pPr>
        <w:pStyle w:val="ListParagraph"/>
        <w:numPr>
          <w:ilvl w:val="0"/>
          <w:numId w:val="35"/>
        </w:numPr>
        <w:spacing w:after="0" w:line="288" w:lineRule="auto"/>
        <w:jc w:val="both"/>
      </w:pPr>
      <w:r>
        <w:rPr>
          <w:rFonts w:ascii="Times New Roman" w:hAnsi="Times New Roman"/>
        </w:rPr>
        <w:t>популяризиране на съществуващите услуги в ЕС за търсещите работа лица на местно, национално и европейско равнище;</w:t>
      </w:r>
    </w:p>
    <w:p w:rsidR="0002399B" w:rsidRPr="007D6282" w:rsidRDefault="0002399B" w:rsidP="007D6282">
      <w:pPr>
        <w:pStyle w:val="ListParagraph"/>
        <w:numPr>
          <w:ilvl w:val="0"/>
          <w:numId w:val="35"/>
        </w:numPr>
        <w:spacing w:after="0" w:line="288" w:lineRule="auto"/>
        <w:jc w:val="both"/>
      </w:pPr>
      <w:r>
        <w:rPr>
          <w:rFonts w:ascii="Times New Roman" w:hAnsi="Times New Roman"/>
        </w:rPr>
        <w:t>представяне на новите тенденции по отношение на уменията и заетостта на местно и европейско равнище;</w:t>
      </w:r>
    </w:p>
    <w:p w:rsidR="00100433" w:rsidRPr="007D6282" w:rsidRDefault="00100433" w:rsidP="007D6282">
      <w:pPr>
        <w:pStyle w:val="ListParagraph"/>
        <w:numPr>
          <w:ilvl w:val="0"/>
          <w:numId w:val="35"/>
        </w:numPr>
        <w:spacing w:after="0" w:line="288" w:lineRule="auto"/>
        <w:jc w:val="both"/>
      </w:pPr>
      <w:r>
        <w:rPr>
          <w:rFonts w:ascii="Times New Roman" w:hAnsi="Times New Roman"/>
        </w:rPr>
        <w:t>представяне на схемите на ЕС в подкрепа на местните и регионалните стратегии за заетост с оглед на текущите дейности за програмиране на бъдещите програми по ЕСФ;</w:t>
      </w:r>
    </w:p>
    <w:p w:rsidR="00100433" w:rsidRPr="007D6282" w:rsidRDefault="00100433" w:rsidP="007D6282">
      <w:pPr>
        <w:pStyle w:val="ListParagraph"/>
        <w:numPr>
          <w:ilvl w:val="0"/>
          <w:numId w:val="35"/>
        </w:numPr>
        <w:spacing w:after="0" w:line="288" w:lineRule="auto"/>
        <w:jc w:val="both"/>
      </w:pPr>
      <w:r>
        <w:rPr>
          <w:rFonts w:ascii="Times New Roman" w:hAnsi="Times New Roman"/>
        </w:rPr>
        <w:t xml:space="preserve">показване на връзките между различните политики на ЕС и програмите от гледна точка на младите хора; </w:t>
      </w:r>
    </w:p>
    <w:p w:rsidR="00C97045" w:rsidRPr="007D6282" w:rsidRDefault="00100433" w:rsidP="007D6282">
      <w:pPr>
        <w:pStyle w:val="ListParagraph"/>
        <w:numPr>
          <w:ilvl w:val="0"/>
          <w:numId w:val="35"/>
        </w:numPr>
        <w:spacing w:after="0" w:line="288" w:lineRule="auto"/>
        <w:jc w:val="both"/>
      </w:pPr>
      <w:r>
        <w:rPr>
          <w:rFonts w:ascii="Times New Roman" w:hAnsi="Times New Roman"/>
        </w:rPr>
        <w:t>предоставяне на база за диалог с гражданите относно социалното измерение на ЕС и неговото значение за заетостта на местно и регионално равнище; и</w:t>
      </w:r>
    </w:p>
    <w:p w:rsidR="00100433" w:rsidRPr="007D6282" w:rsidRDefault="00C97045" w:rsidP="007D6282">
      <w:pPr>
        <w:pStyle w:val="ListParagraph"/>
        <w:numPr>
          <w:ilvl w:val="0"/>
          <w:numId w:val="35"/>
        </w:numPr>
        <w:spacing w:after="0" w:line="288" w:lineRule="auto"/>
        <w:jc w:val="both"/>
      </w:pPr>
      <w:r>
        <w:rPr>
          <w:rFonts w:ascii="Times New Roman" w:hAnsi="Times New Roman"/>
        </w:rPr>
        <w:lastRenderedPageBreak/>
        <w:t>оказване на подкрепа за осигуряването на съответствие между работните места и уменията на место равнище с помощта на финансиране от ЕС за подобни местни прояви.</w:t>
      </w:r>
    </w:p>
    <w:p w:rsidR="00FE1A83" w:rsidRPr="003814FB" w:rsidRDefault="00FE1A83">
      <w:pPr>
        <w:rPr>
          <w:lang w:val="en-GB"/>
        </w:rPr>
      </w:pPr>
    </w:p>
    <w:p w:rsidR="00F165DD" w:rsidRPr="003814FB" w:rsidRDefault="001A2D75">
      <w:r>
        <w:t>На този етап е важно да се организират такива панаири като част от усилията за възстановяване от пандемията от COVID-19. Поради това е важно да се положи началото на политически диалог с водещи представители на социалните партньори, с участието на членове на КР и представители на ЕС, относно концепциите и стратегиите за преодоляване на настоящите предизвикателства пред заетостта.</w:t>
      </w:r>
    </w:p>
    <w:p w:rsidR="00FE1A83" w:rsidRPr="003814FB" w:rsidRDefault="00FE1A83">
      <w:pPr>
        <w:rPr>
          <w:lang w:val="en-GB"/>
        </w:rPr>
      </w:pPr>
    </w:p>
    <w:p w:rsidR="00100433" w:rsidRPr="007D6282" w:rsidRDefault="00455FAA" w:rsidP="007D6282">
      <w:pPr>
        <w:pStyle w:val="Heading3"/>
        <w:ind w:left="709" w:hanging="709"/>
        <w:rPr>
          <w:rFonts w:asciiTheme="majorHAnsi" w:eastAsiaTheme="majorEastAsia" w:hAnsiTheme="majorHAnsi" w:cstheme="majorBidi"/>
          <w:b/>
          <w:color w:val="365F91" w:themeColor="accent1" w:themeShade="BF"/>
          <w:sz w:val="24"/>
          <w:szCs w:val="32"/>
        </w:rPr>
      </w:pPr>
      <w:r>
        <w:rPr>
          <w:rFonts w:ascii="Times New Roman" w:hAnsi="Times New Roman"/>
          <w:b/>
          <w:sz w:val="24"/>
          <w:szCs w:val="24"/>
        </w:rPr>
        <w:t>2.4.3.</w:t>
      </w:r>
      <w:r>
        <w:rPr>
          <w:rFonts w:ascii="Times New Roman" w:hAnsi="Times New Roman"/>
          <w:b/>
          <w:sz w:val="24"/>
          <w:szCs w:val="24"/>
        </w:rPr>
        <w:tab/>
      </w:r>
      <w:r>
        <w:rPr>
          <w:rFonts w:ascii="Times New Roman" w:hAnsi="Times New Roman"/>
          <w:b/>
          <w:sz w:val="24"/>
          <w:szCs w:val="32"/>
        </w:rPr>
        <w:t>Целева група на инициативата „европейски местни панаири за работни места“</w:t>
      </w:r>
    </w:p>
    <w:p w:rsidR="0002399B" w:rsidRPr="007D6282" w:rsidRDefault="0002399B">
      <w:pPr>
        <w:keepNext/>
        <w:rPr>
          <w:lang w:val="en-GB"/>
        </w:rPr>
      </w:pPr>
    </w:p>
    <w:p w:rsidR="0002399B" w:rsidRPr="007D6282" w:rsidRDefault="0002399B" w:rsidP="007D6282">
      <w:r>
        <w:t>Целевата група на „европейските местни панаири за работни места“ може да включва:</w:t>
      </w:r>
    </w:p>
    <w:p w:rsidR="0002399B" w:rsidRPr="007D6282" w:rsidRDefault="0002399B">
      <w:pPr>
        <w:rPr>
          <w:lang w:val="en-GB"/>
        </w:rPr>
      </w:pPr>
    </w:p>
    <w:p w:rsidR="0002399B" w:rsidRPr="007D6282" w:rsidRDefault="0002399B" w:rsidP="007D6282">
      <w:pPr>
        <w:pStyle w:val="ListParagraph"/>
        <w:numPr>
          <w:ilvl w:val="0"/>
          <w:numId w:val="33"/>
        </w:numPr>
        <w:spacing w:after="0" w:line="288" w:lineRule="auto"/>
        <w:ind w:left="360"/>
      </w:pPr>
      <w:r>
        <w:rPr>
          <w:rFonts w:ascii="Times New Roman" w:hAnsi="Times New Roman"/>
        </w:rPr>
        <w:t>търсещи работа лица, по-специално студенти и наскоро дипломирали се лица;</w:t>
      </w:r>
    </w:p>
    <w:p w:rsidR="0002399B" w:rsidRPr="007D6282" w:rsidRDefault="0002399B" w:rsidP="007D6282">
      <w:pPr>
        <w:pStyle w:val="ListParagraph"/>
        <w:numPr>
          <w:ilvl w:val="0"/>
          <w:numId w:val="33"/>
        </w:numPr>
        <w:spacing w:after="0" w:line="288" w:lineRule="auto"/>
        <w:ind w:left="360"/>
      </w:pPr>
      <w:r>
        <w:rPr>
          <w:rFonts w:ascii="Times New Roman" w:hAnsi="Times New Roman"/>
        </w:rPr>
        <w:t>местни/регионални публични служби по заетостта;</w:t>
      </w:r>
    </w:p>
    <w:p w:rsidR="0002399B" w:rsidRPr="007D6282" w:rsidRDefault="0002399B" w:rsidP="007D6282">
      <w:pPr>
        <w:pStyle w:val="ListParagraph"/>
        <w:numPr>
          <w:ilvl w:val="0"/>
          <w:numId w:val="33"/>
        </w:numPr>
        <w:spacing w:after="0" w:line="288" w:lineRule="auto"/>
        <w:ind w:left="360"/>
      </w:pPr>
      <w:r>
        <w:rPr>
          <w:rFonts w:ascii="Times New Roman" w:hAnsi="Times New Roman"/>
        </w:rPr>
        <w:t>агенции за обучение, преквалификация и заетост;</w:t>
      </w:r>
    </w:p>
    <w:p w:rsidR="0002399B" w:rsidRPr="007D6282" w:rsidRDefault="0002399B" w:rsidP="007D6282">
      <w:pPr>
        <w:pStyle w:val="ListParagraph"/>
        <w:numPr>
          <w:ilvl w:val="0"/>
          <w:numId w:val="33"/>
        </w:numPr>
        <w:spacing w:after="0" w:line="288" w:lineRule="auto"/>
        <w:ind w:left="360"/>
      </w:pPr>
      <w:r>
        <w:rPr>
          <w:rFonts w:ascii="Times New Roman" w:hAnsi="Times New Roman"/>
        </w:rPr>
        <w:t>социални партньори, образователни институции;</w:t>
      </w:r>
    </w:p>
    <w:p w:rsidR="0002399B" w:rsidRPr="007D6282" w:rsidRDefault="0002399B" w:rsidP="007D6282">
      <w:pPr>
        <w:pStyle w:val="ListParagraph"/>
        <w:numPr>
          <w:ilvl w:val="0"/>
          <w:numId w:val="33"/>
        </w:numPr>
        <w:spacing w:after="0" w:line="288" w:lineRule="auto"/>
        <w:ind w:left="360"/>
      </w:pPr>
      <w:r>
        <w:rPr>
          <w:rFonts w:ascii="Times New Roman" w:hAnsi="Times New Roman"/>
        </w:rPr>
        <w:t>местни/регионални власти и политици;</w:t>
      </w:r>
    </w:p>
    <w:p w:rsidR="0002399B" w:rsidRPr="007D6282" w:rsidRDefault="0002399B" w:rsidP="007D6282">
      <w:pPr>
        <w:pStyle w:val="ListParagraph"/>
        <w:numPr>
          <w:ilvl w:val="0"/>
          <w:numId w:val="33"/>
        </w:numPr>
        <w:spacing w:after="0" w:line="288" w:lineRule="auto"/>
        <w:ind w:left="360"/>
      </w:pPr>
      <w:r>
        <w:rPr>
          <w:rFonts w:ascii="Times New Roman" w:hAnsi="Times New Roman"/>
        </w:rPr>
        <w:t>местни/регионални медии.</w:t>
      </w:r>
    </w:p>
    <w:p w:rsidR="00FE1A83" w:rsidRPr="007D6282" w:rsidRDefault="00FE1A83" w:rsidP="007D6282">
      <w:pPr>
        <w:rPr>
          <w:lang w:val="en-GB"/>
        </w:rPr>
      </w:pPr>
    </w:p>
    <w:p w:rsidR="0002399B" w:rsidRPr="007D6282" w:rsidRDefault="00455FAA" w:rsidP="007D6282">
      <w:pPr>
        <w:pStyle w:val="Heading3"/>
        <w:tabs>
          <w:tab w:val="left" w:pos="567"/>
        </w:tabs>
        <w:rPr>
          <w:rFonts w:asciiTheme="majorHAnsi" w:hAnsiTheme="majorHAnsi"/>
          <w:color w:val="365F91" w:themeColor="accent1" w:themeShade="BF"/>
        </w:rPr>
      </w:pPr>
      <w:r>
        <w:rPr>
          <w:rFonts w:ascii="Times New Roman" w:hAnsi="Times New Roman"/>
          <w:b/>
          <w:sz w:val="24"/>
          <w:szCs w:val="24"/>
        </w:rPr>
        <w:t>2.4.4.</w:t>
      </w:r>
      <w:r>
        <w:rPr>
          <w:rFonts w:ascii="Times New Roman" w:hAnsi="Times New Roman"/>
          <w:b/>
          <w:sz w:val="24"/>
          <w:szCs w:val="24"/>
        </w:rPr>
        <w:tab/>
        <w:t>Възможни партньори и изпълнение</w:t>
      </w:r>
    </w:p>
    <w:p w:rsidR="0002399B" w:rsidRPr="007D6282" w:rsidRDefault="0002399B" w:rsidP="007D6282">
      <w:pPr>
        <w:keepNext/>
        <w:rPr>
          <w:lang w:val="en-GB"/>
        </w:rPr>
      </w:pPr>
    </w:p>
    <w:p w:rsidR="0002399B" w:rsidRPr="007D6282" w:rsidRDefault="00E0617C">
      <w:r>
        <w:t>„Европейските местни панаири за работни места“ ще имат най-голям успех, ако в тях от начало до край участват подходящите партньори, за да се гарантира съдържателен принос. Участие могат да вземат следните партньори:</w:t>
      </w:r>
    </w:p>
    <w:p w:rsidR="0002399B" w:rsidRPr="007D6282" w:rsidRDefault="0002399B">
      <w:pPr>
        <w:rPr>
          <w:lang w:val="en-GB"/>
        </w:rPr>
      </w:pPr>
    </w:p>
    <w:p w:rsidR="0002399B" w:rsidRPr="007D6282" w:rsidRDefault="00E0617C" w:rsidP="007D6282">
      <w:pPr>
        <w:pStyle w:val="ListParagraph"/>
        <w:numPr>
          <w:ilvl w:val="0"/>
          <w:numId w:val="40"/>
        </w:numPr>
        <w:spacing w:after="0" w:line="288" w:lineRule="auto"/>
        <w:jc w:val="both"/>
      </w:pPr>
      <w:r>
        <w:rPr>
          <w:rFonts w:ascii="Times New Roman" w:hAnsi="Times New Roman"/>
          <w:u w:val="single"/>
        </w:rPr>
        <w:t>На местно равнище</w:t>
      </w:r>
      <w:r>
        <w:rPr>
          <w:rFonts w:ascii="Times New Roman" w:hAnsi="Times New Roman"/>
        </w:rPr>
        <w:t>: публични органи, търговски камари и стопански асоциации, профсъюзи, гражданското общество, училища, университети и др.</w:t>
      </w:r>
    </w:p>
    <w:p w:rsidR="0002399B" w:rsidRPr="007D6282" w:rsidRDefault="00E0617C" w:rsidP="007D6282">
      <w:pPr>
        <w:pStyle w:val="ListParagraph"/>
        <w:numPr>
          <w:ilvl w:val="0"/>
          <w:numId w:val="40"/>
        </w:numPr>
        <w:spacing w:after="0" w:line="288" w:lineRule="auto"/>
        <w:jc w:val="both"/>
      </w:pPr>
      <w:r>
        <w:rPr>
          <w:rFonts w:ascii="Times New Roman" w:hAnsi="Times New Roman"/>
          <w:u w:val="single"/>
        </w:rPr>
        <w:t>На регионално равнище</w:t>
      </w:r>
      <w:r>
        <w:rPr>
          <w:rFonts w:ascii="Times New Roman" w:hAnsi="Times New Roman"/>
        </w:rPr>
        <w:t>: управляващият орган на ЕСФ, службите по заетостта, регионалните министерства, регионални стопански асоциации, университети и др.</w:t>
      </w:r>
    </w:p>
    <w:p w:rsidR="0002399B" w:rsidRPr="007D6282" w:rsidRDefault="00E0617C" w:rsidP="007D6282">
      <w:pPr>
        <w:pStyle w:val="ListParagraph"/>
        <w:numPr>
          <w:ilvl w:val="0"/>
          <w:numId w:val="40"/>
        </w:numPr>
        <w:spacing w:after="0" w:line="288" w:lineRule="auto"/>
        <w:jc w:val="both"/>
      </w:pPr>
      <w:r>
        <w:rPr>
          <w:rFonts w:ascii="Times New Roman" w:hAnsi="Times New Roman"/>
          <w:u w:val="single"/>
        </w:rPr>
        <w:t>На национално равнище:</w:t>
      </w:r>
      <w:r>
        <w:rPr>
          <w:rFonts w:ascii="Times New Roman" w:hAnsi="Times New Roman"/>
        </w:rPr>
        <w:t xml:space="preserve"> национални министерства, сдружения от социалния сектор, стопански сдружения, сдружения за обучение, университети и др.</w:t>
      </w:r>
    </w:p>
    <w:p w:rsidR="00256F0C" w:rsidRPr="007D6282" w:rsidRDefault="00E0617C" w:rsidP="007D6282">
      <w:pPr>
        <w:pStyle w:val="ListParagraph"/>
        <w:numPr>
          <w:ilvl w:val="0"/>
          <w:numId w:val="40"/>
        </w:numPr>
        <w:spacing w:after="0" w:line="288" w:lineRule="auto"/>
        <w:jc w:val="both"/>
      </w:pPr>
      <w:r>
        <w:rPr>
          <w:rFonts w:ascii="Times New Roman" w:hAnsi="Times New Roman"/>
          <w:u w:val="single"/>
        </w:rPr>
        <w:t>На равнището на ЕС</w:t>
      </w:r>
      <w:r>
        <w:rPr>
          <w:rFonts w:ascii="Times New Roman" w:hAnsi="Times New Roman"/>
        </w:rPr>
        <w:t>: Европейската комисия (в лицето на ГД „Трудова заетост, социални въпроси и приобщаване“; други генерални дирекции и служби, които биха могли да бъдат поканени (ГД „Образование, младеж, спорт и култура“, ГД „Регионална и селищна политика“, ГД „Подкрепа на структурните реформи“, Съвместен изследователски център), агенции на ЕС (Европейски орган по труда (ЕОТ), Европейски център за развитие на професионалното обучение (CEDEFOP), Европейска фондация за подобряване на условията на живот и труд (EUROFOUND), членовете на КР, членовете на ЕП; социални партньори.</w:t>
      </w:r>
    </w:p>
    <w:p w:rsidR="00FE1A83" w:rsidRPr="003814FB" w:rsidRDefault="00FE1A83">
      <w:pPr>
        <w:rPr>
          <w:lang w:val="en-GB"/>
        </w:rPr>
      </w:pPr>
    </w:p>
    <w:p w:rsidR="00834904" w:rsidRPr="003814FB" w:rsidRDefault="00834904">
      <w:r>
        <w:t xml:space="preserve">Тъй като настоящата пандемия от COVID-19 временно прави невъзможно организирането на панаири на място, би могло да се помисли за провеждането на такива събития като </w:t>
      </w:r>
      <w:hyperlink r:id="rId14" w:history="1">
        <w:r>
          <w:t>Европейски дни на заетостта онлайн</w:t>
        </w:r>
      </w:hyperlink>
      <w:r>
        <w:t xml:space="preserve"> със съгласието и участието на съответния национален координационен център на EURES.</w:t>
      </w:r>
    </w:p>
    <w:p w:rsidR="003E0FE7" w:rsidRPr="003814FB" w:rsidRDefault="003E0FE7">
      <w:pPr>
        <w:rPr>
          <w:lang w:val="en-GB"/>
        </w:rPr>
      </w:pPr>
    </w:p>
    <w:p w:rsidR="00E6624D" w:rsidRPr="003814FB" w:rsidRDefault="00E6624D">
      <w:r>
        <w:t>Ролите и отговорностите на организаторите и партньорите ще бъдат определяни в отделни споразумения.</w:t>
      </w:r>
    </w:p>
    <w:p w:rsidR="00F165DD" w:rsidRPr="007D6282" w:rsidRDefault="00F165DD">
      <w:pPr>
        <w:rPr>
          <w:sz w:val="24"/>
          <w:lang w:val="en-GB"/>
        </w:rPr>
      </w:pPr>
    </w:p>
    <w:p w:rsidR="001A2D75" w:rsidRPr="007D6282" w:rsidRDefault="001A2D75" w:rsidP="007D6282">
      <w:pPr>
        <w:pStyle w:val="ListParagraph"/>
        <w:keepNext/>
        <w:numPr>
          <w:ilvl w:val="2"/>
          <w:numId w:val="22"/>
        </w:numPr>
        <w:spacing w:after="0" w:line="288" w:lineRule="auto"/>
        <w:rPr>
          <w:b/>
          <w:sz w:val="24"/>
        </w:rPr>
      </w:pPr>
      <w:r>
        <w:rPr>
          <w:rFonts w:ascii="Times New Roman" w:hAnsi="Times New Roman"/>
          <w:b/>
          <w:sz w:val="24"/>
        </w:rPr>
        <w:t>Финансиране и друга подкрепа</w:t>
      </w:r>
    </w:p>
    <w:p w:rsidR="001A2D75" w:rsidRPr="003814FB" w:rsidRDefault="001A2D75" w:rsidP="007D6282">
      <w:pPr>
        <w:keepNext/>
        <w:rPr>
          <w:lang w:val="en-GB"/>
        </w:rPr>
      </w:pPr>
    </w:p>
    <w:p w:rsidR="006C7232" w:rsidRPr="007D6282" w:rsidRDefault="001A2D75">
      <w:r>
        <w:t>„Европейските местни панаири за работни места“, организирани от членовете на КР, биха могли да се подпомагат с финансиране от ЕС. Комитетът на регионите и ГД „Трудова заетост, социални въпроси и приобщаване“ заедно ще проучат подходящите варианти за финансова подкрепа за тези прояви.</w:t>
      </w:r>
    </w:p>
    <w:p w:rsidR="001A2D75" w:rsidRPr="007D6282" w:rsidRDefault="001A2D75">
      <w:pPr>
        <w:rPr>
          <w:lang w:val="en-GB"/>
        </w:rPr>
      </w:pPr>
    </w:p>
    <w:p w:rsidR="001A2D75" w:rsidRPr="007D6282" w:rsidRDefault="008D4711">
      <w:r>
        <w:t>Другите видове подкрепа биха могли да бъдат:</w:t>
      </w:r>
    </w:p>
    <w:p w:rsidR="001A2D75" w:rsidRPr="007D6282" w:rsidRDefault="001A2D75">
      <w:pPr>
        <w:rPr>
          <w:lang w:val="en-GB"/>
        </w:rPr>
      </w:pPr>
    </w:p>
    <w:p w:rsidR="001A2D75" w:rsidRPr="007D6282" w:rsidRDefault="001A2D75" w:rsidP="007D6282">
      <w:pPr>
        <w:pStyle w:val="ListParagraph"/>
        <w:numPr>
          <w:ilvl w:val="0"/>
          <w:numId w:val="41"/>
        </w:numPr>
        <w:spacing w:after="0" w:line="288" w:lineRule="auto"/>
        <w:jc w:val="both"/>
      </w:pPr>
      <w:r>
        <w:rPr>
          <w:rFonts w:ascii="Times New Roman" w:hAnsi="Times New Roman"/>
        </w:rPr>
        <w:t>ангажимент от страна на партньорите от ЕС да вземат активно участие в панаирите (изпращане на експерти и делегати);</w:t>
      </w:r>
    </w:p>
    <w:p w:rsidR="001A2D75" w:rsidRPr="007D6282" w:rsidRDefault="001A2D75" w:rsidP="007D6282">
      <w:pPr>
        <w:pStyle w:val="ListParagraph"/>
        <w:numPr>
          <w:ilvl w:val="0"/>
          <w:numId w:val="41"/>
        </w:numPr>
        <w:spacing w:after="0" w:line="288" w:lineRule="auto"/>
        <w:jc w:val="both"/>
      </w:pPr>
      <w:r>
        <w:rPr>
          <w:rFonts w:ascii="Times New Roman" w:hAnsi="Times New Roman"/>
        </w:rPr>
        <w:t>ангажимент от страна на партньорите от ЕС да подготвят подходящи информационни материали за събитието;</w:t>
      </w:r>
    </w:p>
    <w:p w:rsidR="001A2D75" w:rsidRPr="007D6282" w:rsidRDefault="001A2D75" w:rsidP="007D6282">
      <w:pPr>
        <w:pStyle w:val="ListParagraph"/>
        <w:numPr>
          <w:ilvl w:val="0"/>
          <w:numId w:val="41"/>
        </w:numPr>
        <w:spacing w:after="0" w:line="288" w:lineRule="auto"/>
        <w:jc w:val="both"/>
      </w:pPr>
      <w:r>
        <w:rPr>
          <w:rFonts w:ascii="Times New Roman" w:hAnsi="Times New Roman"/>
        </w:rPr>
        <w:t>ангажимент, когато е осъществимо, за представителство на високо равнище на панаира: комисарят или директорът на ГД „Трудова заетост, социални въпроси и приобщаване“.</w:t>
      </w:r>
    </w:p>
    <w:p w:rsidR="007A1EBE" w:rsidRPr="007D6282" w:rsidRDefault="007A1EBE" w:rsidP="007D6282">
      <w:pPr>
        <w:rPr>
          <w:lang w:val="en-GB"/>
        </w:rPr>
      </w:pPr>
    </w:p>
    <w:p w:rsidR="00E01D16" w:rsidRPr="007D6282" w:rsidRDefault="008C4469" w:rsidP="007D6282">
      <w:pPr>
        <w:pStyle w:val="Heading1"/>
        <w:spacing w:before="0"/>
        <w:ind w:left="567" w:hanging="567"/>
        <w:rPr>
          <w:b/>
          <w:sz w:val="24"/>
        </w:rPr>
      </w:pPr>
      <w:r>
        <w:rPr>
          <w:rFonts w:ascii="Times New Roman" w:hAnsi="Times New Roman"/>
          <w:b/>
          <w:color w:val="auto"/>
          <w:sz w:val="24"/>
          <w:szCs w:val="24"/>
        </w:rPr>
        <w:t xml:space="preserve">3. </w:t>
      </w:r>
      <w:r>
        <w:rPr>
          <w:rFonts w:ascii="Times New Roman" w:hAnsi="Times New Roman"/>
          <w:b/>
          <w:color w:val="auto"/>
          <w:sz w:val="24"/>
          <w:szCs w:val="24"/>
        </w:rPr>
        <w:tab/>
      </w:r>
      <w:r>
        <w:rPr>
          <w:rFonts w:ascii="Times New Roman" w:hAnsi="Times New Roman"/>
          <w:b/>
          <w:color w:val="auto"/>
          <w:sz w:val="24"/>
        </w:rPr>
        <w:t>Други области на политиката и възможности за сътрудничество</w:t>
      </w:r>
    </w:p>
    <w:p w:rsidR="00E01D16" w:rsidRPr="007D6282" w:rsidRDefault="00E01D16">
      <w:pPr>
        <w:rPr>
          <w:rFonts w:eastAsiaTheme="majorEastAsia"/>
          <w:lang w:val="en-GB"/>
        </w:rPr>
      </w:pPr>
    </w:p>
    <w:p w:rsidR="00E01D16" w:rsidRPr="007D6282" w:rsidRDefault="00E01D16" w:rsidP="007D6282">
      <w:pPr>
        <w:spacing w:after="0"/>
        <w:rPr>
          <w:bCs/>
        </w:rPr>
      </w:pPr>
      <w:r>
        <w:t xml:space="preserve">Понастоящем в програмата на ГД „Трудова заетост, социални въпроси и приобщаване“ има няколко други инициативи, като например: </w:t>
      </w:r>
    </w:p>
    <w:p w:rsidR="007A1EBE" w:rsidRPr="007D6282" w:rsidRDefault="007A1EBE" w:rsidP="007D6282">
      <w:pPr>
        <w:spacing w:after="0"/>
        <w:rPr>
          <w:bCs/>
          <w:lang w:val="en-GB"/>
        </w:rPr>
      </w:pPr>
    </w:p>
    <w:p w:rsidR="00457987" w:rsidRPr="007D6282" w:rsidRDefault="007A1EBE" w:rsidP="007D6282">
      <w:pPr>
        <w:pStyle w:val="ListParagraph"/>
        <w:numPr>
          <w:ilvl w:val="0"/>
          <w:numId w:val="33"/>
        </w:numPr>
        <w:spacing w:after="0" w:line="288" w:lineRule="auto"/>
        <w:ind w:left="360"/>
        <w:jc w:val="both"/>
      </w:pPr>
      <w:r>
        <w:rPr>
          <w:rFonts w:ascii="Times New Roman" w:hAnsi="Times New Roman"/>
        </w:rPr>
        <w:t>Планът за действие в областта на социалната икономика, който се очаква през 2021 г. Сътрудничеството би могло да е свързано с дейности за проучване в областите социално приобщаване и създаване на възможности за заетост, сектора в областта на полагането на грижи (грижи в ранна детска възраст и грижи за възрастните хора), други социални услуги, както и със социални иновации в социалната икономика на регионално и междурегионално равнище;</w:t>
      </w:r>
    </w:p>
    <w:p w:rsidR="00E01D16" w:rsidRPr="007D6282" w:rsidRDefault="007A1EBE" w:rsidP="007D6282">
      <w:pPr>
        <w:pStyle w:val="ListParagraph"/>
        <w:numPr>
          <w:ilvl w:val="0"/>
          <w:numId w:val="33"/>
        </w:numPr>
        <w:spacing w:after="0" w:line="288" w:lineRule="auto"/>
        <w:ind w:left="360"/>
        <w:jc w:val="both"/>
      </w:pPr>
      <w:r>
        <w:rPr>
          <w:rFonts w:ascii="Times New Roman" w:hAnsi="Times New Roman"/>
        </w:rPr>
        <w:t>адекватни минимални работни заплати в Европейския съюз, за които Комисията предложи директива на 28 октомври 2020 г.;</w:t>
      </w:r>
    </w:p>
    <w:p w:rsidR="00E01D16" w:rsidRPr="007D6282" w:rsidRDefault="007A1EBE" w:rsidP="007D6282">
      <w:pPr>
        <w:pStyle w:val="ListParagraph"/>
        <w:numPr>
          <w:ilvl w:val="0"/>
          <w:numId w:val="33"/>
        </w:numPr>
        <w:spacing w:after="0" w:line="288" w:lineRule="auto"/>
        <w:ind w:left="360"/>
        <w:jc w:val="both"/>
      </w:pPr>
      <w:r>
        <w:rPr>
          <w:rFonts w:ascii="Times New Roman" w:hAnsi="Times New Roman"/>
        </w:rPr>
        <w:t>условията на труд за сезонните работници, за които Комисията издаде насоки през 2020 г.;</w:t>
      </w:r>
    </w:p>
    <w:p w:rsidR="00E01D16" w:rsidRPr="007D6282" w:rsidRDefault="007A1EBE" w:rsidP="007D6282">
      <w:pPr>
        <w:pStyle w:val="ListParagraph"/>
        <w:numPr>
          <w:ilvl w:val="0"/>
          <w:numId w:val="33"/>
        </w:numPr>
        <w:spacing w:after="0" w:line="288" w:lineRule="auto"/>
        <w:ind w:left="360"/>
        <w:jc w:val="both"/>
      </w:pPr>
      <w:r>
        <w:rPr>
          <w:rFonts w:ascii="Times New Roman" w:hAnsi="Times New Roman"/>
        </w:rPr>
        <w:lastRenderedPageBreak/>
        <w:t>аспектите на демографските промени, които попадат в ресора на ГД „Трудова заетост, социални въпроси и приобщаване“.</w:t>
      </w:r>
    </w:p>
    <w:p w:rsidR="007A1EBE" w:rsidRPr="007D6282" w:rsidRDefault="007A1EBE">
      <w:pPr>
        <w:rPr>
          <w:lang w:val="en-GB"/>
        </w:rPr>
      </w:pPr>
    </w:p>
    <w:p w:rsidR="00E01D16" w:rsidRPr="007D6282" w:rsidRDefault="00E01D16">
      <w:r>
        <w:t>КР ще се стреми да засили консултациите с местните и регионалните власти, за да се включат в тези ключови сфери на работа. Освен това КР и ГД „Трудова заетост, социални въпроси и приобщаване“ ще се стремят да засилят обмена на мнения по тези теми.</w:t>
      </w:r>
    </w:p>
    <w:p w:rsidR="00E01D16" w:rsidRPr="007D6282" w:rsidRDefault="00E01D16">
      <w:pPr>
        <w:rPr>
          <w:lang w:val="en-GB"/>
        </w:rPr>
      </w:pPr>
    </w:p>
    <w:p w:rsidR="003E36A3" w:rsidRPr="007D6282" w:rsidRDefault="003E36A3">
      <w:r>
        <w:t>За осъществяването на засилено сътрудничеството между КР и ГД „Трудова заетост, социални въпроси и приобщаване“ могат да се предвидят и следните допълнителни мерки:</w:t>
      </w:r>
    </w:p>
    <w:p w:rsidR="005B2DC3" w:rsidRPr="007D6282" w:rsidRDefault="005B2DC3">
      <w:pPr>
        <w:rPr>
          <w:lang w:val="en-GB"/>
        </w:rPr>
      </w:pPr>
    </w:p>
    <w:p w:rsidR="003E36A3" w:rsidRPr="007D6282" w:rsidRDefault="007A1EBE" w:rsidP="007D6282">
      <w:pPr>
        <w:pStyle w:val="ListParagraph"/>
        <w:numPr>
          <w:ilvl w:val="0"/>
          <w:numId w:val="17"/>
        </w:numPr>
        <w:spacing w:after="0" w:line="288" w:lineRule="auto"/>
        <w:ind w:left="357" w:hanging="357"/>
        <w:jc w:val="both"/>
      </w:pPr>
      <w:r>
        <w:rPr>
          <w:rFonts w:ascii="Times New Roman" w:hAnsi="Times New Roman"/>
        </w:rPr>
        <w:t>редовен политически диалог — на пленарните сесии на КР и на заседанията на комисия SEDEC;</w:t>
      </w:r>
    </w:p>
    <w:p w:rsidR="003E36A3" w:rsidRPr="007D6282" w:rsidRDefault="007A1EBE" w:rsidP="007D6282">
      <w:pPr>
        <w:pStyle w:val="ListParagraph"/>
        <w:numPr>
          <w:ilvl w:val="0"/>
          <w:numId w:val="17"/>
        </w:numPr>
        <w:spacing w:after="0" w:line="288" w:lineRule="auto"/>
        <w:ind w:left="357" w:hanging="357"/>
        <w:jc w:val="both"/>
      </w:pPr>
      <w:r>
        <w:rPr>
          <w:rFonts w:ascii="Times New Roman" w:hAnsi="Times New Roman"/>
        </w:rPr>
        <w:t>обмисляне на участието на членове и докладчици на КР в конференции и прояви, организирани от ГД „Трудова заетост, социални въпроси и приобщаване“, когато местната и регионалната перспектива създава добавена стойност;</w:t>
      </w:r>
    </w:p>
    <w:p w:rsidR="003E36A3" w:rsidRPr="007D6282" w:rsidRDefault="007A1EBE" w:rsidP="007D6282">
      <w:pPr>
        <w:pStyle w:val="ListParagraph"/>
        <w:numPr>
          <w:ilvl w:val="0"/>
          <w:numId w:val="17"/>
        </w:numPr>
        <w:spacing w:after="0" w:line="288" w:lineRule="auto"/>
        <w:ind w:left="357" w:hanging="357"/>
        <w:jc w:val="both"/>
      </w:pPr>
      <w:r>
        <w:rPr>
          <w:rFonts w:ascii="Times New Roman" w:hAnsi="Times New Roman"/>
        </w:rPr>
        <w:t>при поискване, информиране на членовете на КР за наличното финансиране и подкрепа за политиката от ЕС, за да се покаже как ЕС може да помага на регионите и градовете в екологичния и цифровия преход;</w:t>
      </w:r>
    </w:p>
    <w:p w:rsidR="002E7C63" w:rsidRPr="007D6282" w:rsidRDefault="007A1EBE" w:rsidP="007D6282">
      <w:pPr>
        <w:pStyle w:val="ListParagraph"/>
        <w:numPr>
          <w:ilvl w:val="0"/>
          <w:numId w:val="17"/>
        </w:numPr>
        <w:spacing w:after="0" w:line="288" w:lineRule="auto"/>
        <w:ind w:left="357" w:hanging="357"/>
        <w:jc w:val="both"/>
      </w:pPr>
      <w:r>
        <w:rPr>
          <w:rFonts w:ascii="Times New Roman" w:hAnsi="Times New Roman"/>
        </w:rPr>
        <w:t>проучване на мерки за съвместни съобщения, когато е целесъобразно;</w:t>
      </w:r>
    </w:p>
    <w:p w:rsidR="006D7CA9" w:rsidRPr="007D6282" w:rsidRDefault="007A1EBE" w:rsidP="007D6282">
      <w:pPr>
        <w:pStyle w:val="ListParagraph"/>
        <w:numPr>
          <w:ilvl w:val="0"/>
          <w:numId w:val="17"/>
        </w:numPr>
        <w:spacing w:after="0" w:line="288" w:lineRule="auto"/>
        <w:ind w:left="357" w:hanging="357"/>
        <w:jc w:val="both"/>
      </w:pPr>
      <w:r>
        <w:rPr>
          <w:rFonts w:ascii="Times New Roman" w:hAnsi="Times New Roman"/>
        </w:rPr>
        <w:t>проучване на възможностите за полезно взаимодействие с инициативи на други генерални дирекции, като например партньорствата в рамките на тематичната платформа S3 за модернизация на промишлеността</w:t>
      </w:r>
      <w:r>
        <w:t xml:space="preserve"> (</w:t>
      </w:r>
      <w:hyperlink r:id="rId15" w:history="1">
        <w:r>
          <w:rPr>
            <w:rStyle w:val="Hyperlink"/>
            <w:rFonts w:ascii="Times New Roman" w:hAnsi="Times New Roman"/>
          </w:rPr>
          <w:t>https://s3platform.jrc.ec.europa.eu/social-economy</w:t>
        </w:r>
      </w:hyperlink>
      <w:r>
        <w:t>).</w:t>
      </w:r>
    </w:p>
    <w:p w:rsidR="006D7CA9" w:rsidRPr="007D6282" w:rsidRDefault="006D7CA9">
      <w:pPr>
        <w:rPr>
          <w:lang w:val="en-GB"/>
        </w:rPr>
      </w:pPr>
    </w:p>
    <w:p w:rsidR="006D7CA9" w:rsidRPr="007D6282" w:rsidRDefault="0068468C" w:rsidP="007D6282">
      <w:pPr>
        <w:pStyle w:val="Heading1"/>
        <w:rPr>
          <w:rFonts w:ascii="Times New Roman" w:eastAsia="Times New Roman" w:hAnsi="Times New Roman" w:cs="Times New Roman"/>
          <w:b/>
          <w:color w:val="000000" w:themeColor="text1"/>
          <w:sz w:val="24"/>
          <w:szCs w:val="24"/>
        </w:rPr>
      </w:pPr>
      <w:r>
        <w:rPr>
          <w:rFonts w:ascii="Times New Roman" w:hAnsi="Times New Roman"/>
          <w:b/>
          <w:color w:val="000000" w:themeColor="text1"/>
          <w:sz w:val="24"/>
          <w:szCs w:val="24"/>
        </w:rPr>
        <w:t xml:space="preserve">4. </w:t>
      </w:r>
      <w:r>
        <w:rPr>
          <w:rFonts w:ascii="Times New Roman" w:hAnsi="Times New Roman"/>
          <w:b/>
          <w:color w:val="000000" w:themeColor="text1"/>
          <w:sz w:val="24"/>
          <w:szCs w:val="24"/>
        </w:rPr>
        <w:tab/>
        <w:t>Следващи стъпки:</w:t>
      </w:r>
    </w:p>
    <w:p w:rsidR="006D7CA9" w:rsidRPr="007D6282" w:rsidRDefault="006D7CA9" w:rsidP="007D6282">
      <w:pPr>
        <w:keepNext/>
        <w:rPr>
          <w:lang w:val="en-GB"/>
        </w:rPr>
      </w:pPr>
    </w:p>
    <w:p w:rsidR="000F448C" w:rsidRPr="003814FB" w:rsidRDefault="00DC0DF4" w:rsidP="007D6282">
      <w:pPr>
        <w:jc w:val="both"/>
      </w:pPr>
      <w:r>
        <w:t>ГД „Трудова заетост, социални въпроси и приобщаване“ и КР ще посочат лица за контакт, които да отговарят за определянето на подробностите по концепцията и начините за провеждането на „европейски местни панаири за работни места“, както и за да гарантират гладкото сътрудничество и координацията на действията на административно равнище.</w:t>
      </w:r>
    </w:p>
    <w:sectPr w:rsidR="000F448C" w:rsidRPr="003814FB" w:rsidSect="003831AE">
      <w:footerReference w:type="default" r:id="rId16"/>
      <w:pgSz w:w="11906" w:h="16838"/>
      <w:pgMar w:top="1417" w:right="1417" w:bottom="1417" w:left="1417"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8C63B" w16cex:dateUtc="2020-08-20T07:51:00Z"/>
  <w16cex:commentExtensible w16cex:durableId="22E8C6C8" w16cex:dateUtc="2020-08-20T07:54:00Z"/>
  <w16cex:commentExtensible w16cex:durableId="22E8C78A" w16cex:dateUtc="2020-08-20T07:57:00Z"/>
  <w16cex:commentExtensible w16cex:durableId="22E8CDF2" w16cex:dateUtc="2020-08-20T08: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440FE8" w16cid:durableId="22E8C63B"/>
  <w16cid:commentId w16cid:paraId="7CC3FC94" w16cid:durableId="22E8C6C8"/>
  <w16cid:commentId w16cid:paraId="1E5534BC" w16cid:durableId="22ED245B"/>
  <w16cid:commentId w16cid:paraId="1847A8FA" w16cid:durableId="22E8C78A"/>
  <w16cid:commentId w16cid:paraId="69CE8917" w16cid:durableId="22E771BD"/>
  <w16cid:commentId w16cid:paraId="29D3282F" w16cid:durableId="22E8CD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784" w:rsidRDefault="00683784" w:rsidP="007E71D2">
      <w:pPr>
        <w:spacing w:line="240" w:lineRule="auto"/>
      </w:pPr>
      <w:r>
        <w:separator/>
      </w:r>
    </w:p>
  </w:endnote>
  <w:endnote w:type="continuationSeparator" w:id="0">
    <w:p w:rsidR="00683784" w:rsidRDefault="00683784" w:rsidP="007E71D2">
      <w:pPr>
        <w:spacing w:line="240" w:lineRule="auto"/>
      </w:pPr>
      <w:r>
        <w:continuationSeparator/>
      </w:r>
    </w:p>
  </w:endnote>
  <w:endnote w:type="continuationNotice" w:id="1">
    <w:p w:rsidR="00683784" w:rsidRDefault="006837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022340"/>
      <w:docPartObj>
        <w:docPartGallery w:val="Page Numbers (Bottom of Page)"/>
        <w:docPartUnique/>
      </w:docPartObj>
    </w:sdtPr>
    <w:sdtEndPr>
      <w:rPr>
        <w:noProof/>
      </w:rPr>
    </w:sdtEndPr>
    <w:sdtContent>
      <w:p w:rsidR="00EB2F01" w:rsidRDefault="00EB2F01" w:rsidP="007D6282">
        <w:pPr>
          <w:pStyle w:val="Footer"/>
          <w:jc w:val="center"/>
        </w:pPr>
        <w:r>
          <w:fldChar w:fldCharType="begin"/>
        </w:r>
        <w:r>
          <w:instrText xml:space="preserve"> PAGE   \* MERGEFORMAT </w:instrText>
        </w:r>
        <w:r>
          <w:fldChar w:fldCharType="separate"/>
        </w:r>
        <w:r w:rsidR="00FA591A">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784" w:rsidRDefault="00683784" w:rsidP="007E71D2">
      <w:pPr>
        <w:spacing w:line="240" w:lineRule="auto"/>
      </w:pPr>
      <w:r>
        <w:separator/>
      </w:r>
    </w:p>
  </w:footnote>
  <w:footnote w:type="continuationSeparator" w:id="0">
    <w:p w:rsidR="00683784" w:rsidRDefault="00683784" w:rsidP="007E71D2">
      <w:pPr>
        <w:spacing w:line="240" w:lineRule="auto"/>
      </w:pPr>
      <w:r>
        <w:continuationSeparator/>
      </w:r>
    </w:p>
  </w:footnote>
  <w:footnote w:type="continuationNotice" w:id="1">
    <w:p w:rsidR="00683784" w:rsidRDefault="00683784">
      <w:pPr>
        <w:spacing w:line="240" w:lineRule="auto"/>
      </w:pPr>
    </w:p>
  </w:footnote>
  <w:footnote w:id="2">
    <w:p w:rsidR="00EB2F01" w:rsidRPr="007D6282" w:rsidRDefault="00EB2F01" w:rsidP="00C82EBC">
      <w:pPr>
        <w:pStyle w:val="FootnoteText"/>
        <w:tabs>
          <w:tab w:val="left" w:pos="567"/>
        </w:tabs>
        <w:rPr>
          <w:sz w:val="16"/>
          <w:szCs w:val="16"/>
        </w:rPr>
      </w:pPr>
      <w:r>
        <w:rPr>
          <w:rStyle w:val="FootnoteReference"/>
          <w:sz w:val="24"/>
          <w:szCs w:val="24"/>
        </w:rPr>
        <w:footnoteRef/>
      </w:r>
      <w:r>
        <w:t xml:space="preserve"> </w:t>
      </w:r>
      <w:r>
        <w:tab/>
      </w:r>
      <w:hyperlink r:id="rId1" w:history="1">
        <w:r>
          <w:rPr>
            <w:rStyle w:val="Hyperlink"/>
            <w:sz w:val="16"/>
            <w:szCs w:val="16"/>
          </w:rPr>
          <w:t>https://ec.europa.eu/commission/sites/beta-political/files/reflection-paper-social-dimension-europe_bg.pdf</w:t>
        </w:r>
      </w:hyperlink>
    </w:p>
  </w:footnote>
  <w:footnote w:id="3">
    <w:p w:rsidR="00EB2F01" w:rsidRPr="007D6282" w:rsidRDefault="00EB2F01" w:rsidP="007D6282">
      <w:pPr>
        <w:pStyle w:val="FootnoteText"/>
        <w:tabs>
          <w:tab w:val="left" w:pos="567"/>
        </w:tabs>
        <w:rPr>
          <w:sz w:val="16"/>
          <w:szCs w:val="16"/>
        </w:rPr>
      </w:pPr>
      <w:r>
        <w:rPr>
          <w:rStyle w:val="FootnoteReference"/>
          <w:sz w:val="24"/>
          <w:szCs w:val="24"/>
        </w:rPr>
        <w:footnoteRef/>
      </w:r>
      <w:r>
        <w:tab/>
      </w:r>
      <w:hyperlink r:id="rId2" w:history="1">
        <w:r>
          <w:rPr>
            <w:rStyle w:val="Hyperlink"/>
            <w:sz w:val="16"/>
            <w:szCs w:val="16"/>
          </w:rPr>
          <w:t>https://eur-lex.europa.eu/LexUriServ/LexUriServ.do?uri=OJ:C:2012:102:0006:0010:BG:PDF.</w:t>
        </w:r>
      </w:hyperlink>
    </w:p>
  </w:footnote>
  <w:footnote w:id="4">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sz w:val="16"/>
          <w:szCs w:val="16"/>
        </w:rPr>
        <w:t xml:space="preserve"> </w:t>
      </w:r>
      <w:r>
        <w:rPr>
          <w:sz w:val="16"/>
          <w:szCs w:val="16"/>
        </w:rPr>
        <w:tab/>
        <w:t>COM(2020) 447 final.</w:t>
      </w:r>
    </w:p>
  </w:footnote>
  <w:footnote w:id="5">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rStyle w:val="FootnoteReference"/>
          <w:sz w:val="24"/>
          <w:szCs w:val="24"/>
        </w:rPr>
        <w:t xml:space="preserve"> </w:t>
      </w:r>
      <w:r>
        <w:rPr>
          <w:sz w:val="16"/>
          <w:szCs w:val="16"/>
        </w:rPr>
        <w:tab/>
        <w:t>В съобщението „Подкрепа за младежката заетост: мост към работните места за следващото поколение“ (COM(2020) 276 final) Комисията настоятелно призовава държавите членки да увеличат подкрепата за младежката заетост, както и общата амбиция на ЕС да увеличи равнището на подкрепа, предназначена за младежката заетост, в сравнение с финансовия период 2014—2020 г., която се оценява на 22 милиарда евро.</w:t>
      </w:r>
    </w:p>
  </w:footnote>
  <w:footnote w:id="6">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tab/>
      </w:r>
      <w:r w:rsidRPr="00E53C17">
        <w:rPr>
          <w:sz w:val="16"/>
          <w:szCs w:val="16"/>
        </w:rPr>
        <w:t>Препоръката на Съвета относно мост към работни места — укрепване на гаранцията за младежта получи политическото одобрение в Съвета и ще бъде приета преди края на 2020 г.</w:t>
      </w:r>
    </w:p>
  </w:footnote>
  <w:footnote w:id="7">
    <w:p w:rsidR="00EB2F01" w:rsidRPr="007D6282" w:rsidRDefault="00EB2F01" w:rsidP="007D6282">
      <w:pPr>
        <w:pStyle w:val="FootnoteText"/>
        <w:tabs>
          <w:tab w:val="left" w:pos="567"/>
        </w:tabs>
        <w:ind w:left="567" w:hanging="567"/>
        <w:rPr>
          <w:sz w:val="16"/>
          <w:szCs w:val="16"/>
        </w:rPr>
      </w:pPr>
      <w:r>
        <w:rPr>
          <w:rStyle w:val="FootnoteReference"/>
          <w:sz w:val="24"/>
          <w:szCs w:val="24"/>
        </w:rPr>
        <w:footnoteRef/>
      </w:r>
      <w:r>
        <w:rPr>
          <w:sz w:val="16"/>
          <w:szCs w:val="16"/>
        </w:rPr>
        <w:t xml:space="preserve"> </w:t>
      </w:r>
      <w:r>
        <w:rPr>
          <w:sz w:val="16"/>
          <w:szCs w:val="16"/>
        </w:rPr>
        <w:tab/>
        <w:t xml:space="preserve">COM(2020) 276 final. </w:t>
      </w:r>
    </w:p>
  </w:footnote>
  <w:footnote w:id="8">
    <w:p w:rsidR="002867F1" w:rsidRPr="007D6282" w:rsidRDefault="002867F1">
      <w:pPr>
        <w:pStyle w:val="FootnoteText"/>
        <w:rPr>
          <w:sz w:val="16"/>
          <w:szCs w:val="16"/>
        </w:rPr>
      </w:pPr>
      <w:r>
        <w:rPr>
          <w:rStyle w:val="FootnoteReference"/>
          <w:sz w:val="24"/>
          <w:szCs w:val="24"/>
        </w:rPr>
        <w:footnoteRef/>
      </w:r>
      <w:r>
        <w:t xml:space="preserve"> </w:t>
      </w:r>
      <w:r>
        <w:tab/>
      </w:r>
      <w:r>
        <w:rPr>
          <w:sz w:val="16"/>
          <w:szCs w:val="16"/>
        </w:rPr>
        <w:t>COM(2020) 274 final.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1C97EA"/>
    <w:lvl w:ilvl="0">
      <w:start w:val="1"/>
      <w:numFmt w:val="decimal"/>
      <w:lvlText w:val="%1."/>
      <w:legacy w:legacy="1" w:legacySpace="0"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egacy w:legacy="1" w:legacySpace="144" w:legacyIndent="0"/>
      <w:lvlJc w:val="left"/>
      <w:rPr>
        <w:b w:val="0"/>
      </w:rPr>
    </w:lvl>
    <w:lvl w:ilvl="2">
      <w:start w:val="1"/>
      <w:numFmt w:val="decimal"/>
      <w:lvlText w:val="%1.%2.%3"/>
      <w:legacy w:legacy="1" w:legacySpace="144" w:legacyIndent="0"/>
      <w:lvlJc w:val="left"/>
      <w:rPr>
        <w:b w: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75010D"/>
    <w:multiLevelType w:val="hybridMultilevel"/>
    <w:tmpl w:val="E924CD2E"/>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8E26D84"/>
    <w:multiLevelType w:val="hybridMultilevel"/>
    <w:tmpl w:val="3C9A2C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E10D59"/>
    <w:multiLevelType w:val="hybridMultilevel"/>
    <w:tmpl w:val="A8204F2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D360DF6"/>
    <w:multiLevelType w:val="hybridMultilevel"/>
    <w:tmpl w:val="DEACEA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F637C1B"/>
    <w:multiLevelType w:val="hybridMultilevel"/>
    <w:tmpl w:val="DE224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4794F"/>
    <w:multiLevelType w:val="hybridMultilevel"/>
    <w:tmpl w:val="2F448F7A"/>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15:restartNumberingAfterBreak="0">
    <w:nsid w:val="16AF6D72"/>
    <w:multiLevelType w:val="hybridMultilevel"/>
    <w:tmpl w:val="0156BE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92E3ADF"/>
    <w:multiLevelType w:val="hybridMultilevel"/>
    <w:tmpl w:val="98846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4A2E0E"/>
    <w:multiLevelType w:val="hybridMultilevel"/>
    <w:tmpl w:val="077EC1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5FB3D22"/>
    <w:multiLevelType w:val="hybridMultilevel"/>
    <w:tmpl w:val="C8C49C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60A0A3A"/>
    <w:multiLevelType w:val="hybridMultilevel"/>
    <w:tmpl w:val="19C28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85706E"/>
    <w:multiLevelType w:val="hybridMultilevel"/>
    <w:tmpl w:val="2D3CA36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3" w15:restartNumberingAfterBreak="0">
    <w:nsid w:val="27DF3DB0"/>
    <w:multiLevelType w:val="hybridMultilevel"/>
    <w:tmpl w:val="B4328B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90727B0"/>
    <w:multiLevelType w:val="hybridMultilevel"/>
    <w:tmpl w:val="67E07D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D4864EC"/>
    <w:multiLevelType w:val="hybridMultilevel"/>
    <w:tmpl w:val="150CDCA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30D35B15"/>
    <w:multiLevelType w:val="hybridMultilevel"/>
    <w:tmpl w:val="FC4476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49C1308"/>
    <w:multiLevelType w:val="hybridMultilevel"/>
    <w:tmpl w:val="D716FD64"/>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1819A8"/>
    <w:multiLevelType w:val="hybridMultilevel"/>
    <w:tmpl w:val="D310C6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DA2403"/>
    <w:multiLevelType w:val="hybridMultilevel"/>
    <w:tmpl w:val="8A4296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D9E1247"/>
    <w:multiLevelType w:val="hybridMultilevel"/>
    <w:tmpl w:val="1F4C3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414E37"/>
    <w:multiLevelType w:val="hybridMultilevel"/>
    <w:tmpl w:val="2C5C0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E36E80"/>
    <w:multiLevelType w:val="hybridMultilevel"/>
    <w:tmpl w:val="0E66A7FE"/>
    <w:lvl w:ilvl="0" w:tplc="0809000F">
      <w:start w:val="1"/>
      <w:numFmt w:val="decimal"/>
      <w:lvlText w:val="%1."/>
      <w:lvlJc w:val="left"/>
      <w:pPr>
        <w:ind w:left="360" w:hanging="360"/>
      </w:pPr>
    </w:lvl>
    <w:lvl w:ilvl="1" w:tplc="3CE6A304">
      <w:numFmt w:val="bullet"/>
      <w:lvlText w:val=""/>
      <w:lvlJc w:val="left"/>
      <w:pPr>
        <w:ind w:left="1080" w:hanging="360"/>
      </w:pPr>
      <w:rPr>
        <w:rFonts w:ascii="Times New Roman" w:eastAsia="Times New Roman" w:hAnsi="Times New Roman"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6351A38"/>
    <w:multiLevelType w:val="hybridMultilevel"/>
    <w:tmpl w:val="3162C3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85E14A5"/>
    <w:multiLevelType w:val="hybridMultilevel"/>
    <w:tmpl w:val="5CC67A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877317D"/>
    <w:multiLevelType w:val="hybridMultilevel"/>
    <w:tmpl w:val="6A885AB2"/>
    <w:lvl w:ilvl="0" w:tplc="3F1A2BB6">
      <w:start w:val="19"/>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510161A9"/>
    <w:multiLevelType w:val="hybridMultilevel"/>
    <w:tmpl w:val="9EE40B06"/>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5E36C4"/>
    <w:multiLevelType w:val="hybridMultilevel"/>
    <w:tmpl w:val="8B62B0B8"/>
    <w:lvl w:ilvl="0" w:tplc="08090001">
      <w:start w:val="1"/>
      <w:numFmt w:val="bullet"/>
      <w:lvlText w:val=""/>
      <w:lvlJc w:val="left"/>
      <w:pPr>
        <w:ind w:left="720" w:hanging="360"/>
      </w:pPr>
      <w:rPr>
        <w:rFonts w:ascii="Symbol" w:hAnsi="Symbol"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59F14D7F"/>
    <w:multiLevelType w:val="hybridMultilevel"/>
    <w:tmpl w:val="7F2E71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F7E2FCA"/>
    <w:multiLevelType w:val="hybridMultilevel"/>
    <w:tmpl w:val="3446B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E70112"/>
    <w:multiLevelType w:val="hybridMultilevel"/>
    <w:tmpl w:val="93C8C5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BED3DA0"/>
    <w:multiLevelType w:val="hybridMultilevel"/>
    <w:tmpl w:val="CC3257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F207D62"/>
    <w:multiLevelType w:val="hybridMultilevel"/>
    <w:tmpl w:val="BF525C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1825AC9"/>
    <w:multiLevelType w:val="hybridMultilevel"/>
    <w:tmpl w:val="2744D9E4"/>
    <w:lvl w:ilvl="0" w:tplc="222075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1FA460E"/>
    <w:multiLevelType w:val="multilevel"/>
    <w:tmpl w:val="C150BB92"/>
    <w:lvl w:ilvl="0">
      <w:start w:val="1"/>
      <w:numFmt w:val="decimal"/>
      <w:lvlText w:val="%1."/>
      <w:lvlJc w:val="left"/>
      <w:pPr>
        <w:ind w:left="360" w:hanging="360"/>
      </w:pPr>
      <w:rPr>
        <w:rFonts w:hint="default"/>
      </w:rPr>
    </w:lvl>
    <w:lvl w:ilvl="1">
      <w:start w:val="4"/>
      <w:numFmt w:val="decimal"/>
      <w:isLgl/>
      <w:lvlText w:val="%1.%2."/>
      <w:lvlJc w:val="left"/>
      <w:pPr>
        <w:ind w:left="570" w:hanging="57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77891A7C"/>
    <w:multiLevelType w:val="hybridMultilevel"/>
    <w:tmpl w:val="67280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15C8B"/>
    <w:multiLevelType w:val="hybridMultilevel"/>
    <w:tmpl w:val="35403730"/>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7" w15:restartNumberingAfterBreak="0">
    <w:nsid w:val="78D84E72"/>
    <w:multiLevelType w:val="hybridMultilevel"/>
    <w:tmpl w:val="6D82B1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AA266CD"/>
    <w:multiLevelType w:val="hybridMultilevel"/>
    <w:tmpl w:val="8B2A6BE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C424AAB"/>
    <w:multiLevelType w:val="hybridMultilevel"/>
    <w:tmpl w:val="768A0C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CFD3F4A"/>
    <w:multiLevelType w:val="hybridMultilevel"/>
    <w:tmpl w:val="5144F4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DD351C0"/>
    <w:multiLevelType w:val="hybridMultilevel"/>
    <w:tmpl w:val="F27AE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8"/>
  </w:num>
  <w:num w:numId="4">
    <w:abstractNumId w:val="13"/>
  </w:num>
  <w:num w:numId="5">
    <w:abstractNumId w:val="31"/>
  </w:num>
  <w:num w:numId="6">
    <w:abstractNumId w:val="9"/>
  </w:num>
  <w:num w:numId="7">
    <w:abstractNumId w:val="8"/>
  </w:num>
  <w:num w:numId="8">
    <w:abstractNumId w:val="40"/>
  </w:num>
  <w:num w:numId="9">
    <w:abstractNumId w:val="15"/>
  </w:num>
  <w:num w:numId="10">
    <w:abstractNumId w:val="3"/>
  </w:num>
  <w:num w:numId="11">
    <w:abstractNumId w:val="30"/>
  </w:num>
  <w:num w:numId="12">
    <w:abstractNumId w:val="14"/>
  </w:num>
  <w:num w:numId="13">
    <w:abstractNumId w:val="36"/>
  </w:num>
  <w:num w:numId="14">
    <w:abstractNumId w:val="27"/>
  </w:num>
  <w:num w:numId="15">
    <w:abstractNumId w:val="2"/>
  </w:num>
  <w:num w:numId="16">
    <w:abstractNumId w:val="22"/>
  </w:num>
  <w:num w:numId="17">
    <w:abstractNumId w:val="12"/>
  </w:num>
  <w:num w:numId="18">
    <w:abstractNumId w:val="25"/>
  </w:num>
  <w:num w:numId="19">
    <w:abstractNumId w:val="20"/>
  </w:num>
  <w:num w:numId="20">
    <w:abstractNumId w:val="23"/>
  </w:num>
  <w:num w:numId="21">
    <w:abstractNumId w:val="21"/>
  </w:num>
  <w:num w:numId="22">
    <w:abstractNumId w:val="34"/>
  </w:num>
  <w:num w:numId="23">
    <w:abstractNumId w:val="5"/>
  </w:num>
  <w:num w:numId="24">
    <w:abstractNumId w:val="16"/>
  </w:num>
  <w:num w:numId="25">
    <w:abstractNumId w:val="17"/>
  </w:num>
  <w:num w:numId="26">
    <w:abstractNumId w:val="35"/>
  </w:num>
  <w:num w:numId="27">
    <w:abstractNumId w:val="11"/>
  </w:num>
  <w:num w:numId="28">
    <w:abstractNumId w:val="26"/>
  </w:num>
  <w:num w:numId="29">
    <w:abstractNumId w:val="33"/>
  </w:num>
  <w:num w:numId="30">
    <w:abstractNumId w:val="32"/>
  </w:num>
  <w:num w:numId="31">
    <w:abstractNumId w:val="7"/>
  </w:num>
  <w:num w:numId="32">
    <w:abstractNumId w:val="38"/>
  </w:num>
  <w:num w:numId="33">
    <w:abstractNumId w:val="29"/>
  </w:num>
  <w:num w:numId="34">
    <w:abstractNumId w:val="24"/>
  </w:num>
  <w:num w:numId="35">
    <w:abstractNumId w:val="28"/>
  </w:num>
  <w:num w:numId="36">
    <w:abstractNumId w:val="41"/>
  </w:num>
  <w:num w:numId="37">
    <w:abstractNumId w:val="6"/>
  </w:num>
  <w:num w:numId="38">
    <w:abstractNumId w:val="37"/>
  </w:num>
  <w:num w:numId="39">
    <w:abstractNumId w:val="39"/>
  </w:num>
  <w:num w:numId="40">
    <w:abstractNumId w:val="19"/>
  </w:num>
  <w:num w:numId="41">
    <w:abstractNumId w:val="10"/>
  </w:num>
  <w:num w:numId="42">
    <w:abstractNumId w:val="4"/>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2285A"/>
    <w:rsid w:val="000115F3"/>
    <w:rsid w:val="00014693"/>
    <w:rsid w:val="00014E6A"/>
    <w:rsid w:val="0001607A"/>
    <w:rsid w:val="0002399B"/>
    <w:rsid w:val="00025C0A"/>
    <w:rsid w:val="00032B76"/>
    <w:rsid w:val="00034B02"/>
    <w:rsid w:val="00041D24"/>
    <w:rsid w:val="00046905"/>
    <w:rsid w:val="0005130E"/>
    <w:rsid w:val="00052C63"/>
    <w:rsid w:val="00052CB0"/>
    <w:rsid w:val="00053254"/>
    <w:rsid w:val="00053923"/>
    <w:rsid w:val="0005456E"/>
    <w:rsid w:val="00067F05"/>
    <w:rsid w:val="00081341"/>
    <w:rsid w:val="00092FB6"/>
    <w:rsid w:val="000938C4"/>
    <w:rsid w:val="000A0D57"/>
    <w:rsid w:val="000A676E"/>
    <w:rsid w:val="000A7400"/>
    <w:rsid w:val="000B6015"/>
    <w:rsid w:val="000B6528"/>
    <w:rsid w:val="000D7781"/>
    <w:rsid w:val="000F034A"/>
    <w:rsid w:val="000F3666"/>
    <w:rsid w:val="000F448C"/>
    <w:rsid w:val="00100433"/>
    <w:rsid w:val="00122601"/>
    <w:rsid w:val="001303C7"/>
    <w:rsid w:val="00131BAD"/>
    <w:rsid w:val="00133C10"/>
    <w:rsid w:val="00135709"/>
    <w:rsid w:val="00141B6A"/>
    <w:rsid w:val="001508E5"/>
    <w:rsid w:val="00150CCB"/>
    <w:rsid w:val="00151730"/>
    <w:rsid w:val="00161FA6"/>
    <w:rsid w:val="00162E43"/>
    <w:rsid w:val="00164507"/>
    <w:rsid w:val="00164C40"/>
    <w:rsid w:val="00165C5A"/>
    <w:rsid w:val="00170B9B"/>
    <w:rsid w:val="00176CAE"/>
    <w:rsid w:val="0018679E"/>
    <w:rsid w:val="00192316"/>
    <w:rsid w:val="00194608"/>
    <w:rsid w:val="001A2814"/>
    <w:rsid w:val="001A2928"/>
    <w:rsid w:val="001A2D75"/>
    <w:rsid w:val="001B3DE5"/>
    <w:rsid w:val="001B62E2"/>
    <w:rsid w:val="001C24E4"/>
    <w:rsid w:val="001C2739"/>
    <w:rsid w:val="001D1C58"/>
    <w:rsid w:val="001D49B1"/>
    <w:rsid w:val="001D6B54"/>
    <w:rsid w:val="001D7401"/>
    <w:rsid w:val="001E18B4"/>
    <w:rsid w:val="001F20A4"/>
    <w:rsid w:val="00202FA0"/>
    <w:rsid w:val="00206C91"/>
    <w:rsid w:val="00207F48"/>
    <w:rsid w:val="002143E7"/>
    <w:rsid w:val="00216B6A"/>
    <w:rsid w:val="00221331"/>
    <w:rsid w:val="002302EF"/>
    <w:rsid w:val="0023381A"/>
    <w:rsid w:val="00234ED5"/>
    <w:rsid w:val="0023752B"/>
    <w:rsid w:val="00237BCF"/>
    <w:rsid w:val="00256E2E"/>
    <w:rsid w:val="00256F0C"/>
    <w:rsid w:val="002574BD"/>
    <w:rsid w:val="00267B85"/>
    <w:rsid w:val="00275FB7"/>
    <w:rsid w:val="00276AF1"/>
    <w:rsid w:val="00283BCC"/>
    <w:rsid w:val="002849B5"/>
    <w:rsid w:val="002867F1"/>
    <w:rsid w:val="00297A95"/>
    <w:rsid w:val="002C2A13"/>
    <w:rsid w:val="002D435E"/>
    <w:rsid w:val="002D4474"/>
    <w:rsid w:val="002D687E"/>
    <w:rsid w:val="002D78A2"/>
    <w:rsid w:val="002E4558"/>
    <w:rsid w:val="002E7C63"/>
    <w:rsid w:val="00302240"/>
    <w:rsid w:val="003179F6"/>
    <w:rsid w:val="0032643C"/>
    <w:rsid w:val="00330D7D"/>
    <w:rsid w:val="00343863"/>
    <w:rsid w:val="00356DF4"/>
    <w:rsid w:val="00360D28"/>
    <w:rsid w:val="00363E4E"/>
    <w:rsid w:val="0038092C"/>
    <w:rsid w:val="00381051"/>
    <w:rsid w:val="003814FB"/>
    <w:rsid w:val="003825D2"/>
    <w:rsid w:val="003831AE"/>
    <w:rsid w:val="00394636"/>
    <w:rsid w:val="00397E5D"/>
    <w:rsid w:val="003A17FB"/>
    <w:rsid w:val="003B12A8"/>
    <w:rsid w:val="003C1C84"/>
    <w:rsid w:val="003C2756"/>
    <w:rsid w:val="003C6A76"/>
    <w:rsid w:val="003D208F"/>
    <w:rsid w:val="003D64D4"/>
    <w:rsid w:val="003E0FE7"/>
    <w:rsid w:val="003E36A3"/>
    <w:rsid w:val="003F310F"/>
    <w:rsid w:val="00416589"/>
    <w:rsid w:val="00416F28"/>
    <w:rsid w:val="00421A56"/>
    <w:rsid w:val="00422DE3"/>
    <w:rsid w:val="00455FAA"/>
    <w:rsid w:val="00457987"/>
    <w:rsid w:val="004672CD"/>
    <w:rsid w:val="00467B9B"/>
    <w:rsid w:val="00474C1C"/>
    <w:rsid w:val="004817E9"/>
    <w:rsid w:val="00483C2D"/>
    <w:rsid w:val="0049793A"/>
    <w:rsid w:val="004A63B0"/>
    <w:rsid w:val="004C08B7"/>
    <w:rsid w:val="004C40A8"/>
    <w:rsid w:val="004D5A56"/>
    <w:rsid w:val="004D6DCD"/>
    <w:rsid w:val="004D765D"/>
    <w:rsid w:val="004E1969"/>
    <w:rsid w:val="004E394E"/>
    <w:rsid w:val="004E6147"/>
    <w:rsid w:val="004E6536"/>
    <w:rsid w:val="004E71CD"/>
    <w:rsid w:val="004F3E8B"/>
    <w:rsid w:val="004F4966"/>
    <w:rsid w:val="004F6D31"/>
    <w:rsid w:val="00501E02"/>
    <w:rsid w:val="00504067"/>
    <w:rsid w:val="00512960"/>
    <w:rsid w:val="00516393"/>
    <w:rsid w:val="0051715E"/>
    <w:rsid w:val="00520210"/>
    <w:rsid w:val="0052074E"/>
    <w:rsid w:val="00523C75"/>
    <w:rsid w:val="00527019"/>
    <w:rsid w:val="005366D6"/>
    <w:rsid w:val="00541BE3"/>
    <w:rsid w:val="00542BFC"/>
    <w:rsid w:val="00544F9B"/>
    <w:rsid w:val="00545845"/>
    <w:rsid w:val="00546AEC"/>
    <w:rsid w:val="00551DF1"/>
    <w:rsid w:val="00557917"/>
    <w:rsid w:val="005708AD"/>
    <w:rsid w:val="00574134"/>
    <w:rsid w:val="005810D1"/>
    <w:rsid w:val="00582144"/>
    <w:rsid w:val="00583165"/>
    <w:rsid w:val="00591229"/>
    <w:rsid w:val="005977FF"/>
    <w:rsid w:val="00597990"/>
    <w:rsid w:val="005A4DE6"/>
    <w:rsid w:val="005B2DC3"/>
    <w:rsid w:val="005B3884"/>
    <w:rsid w:val="005C55D6"/>
    <w:rsid w:val="005D06A9"/>
    <w:rsid w:val="005D5EB3"/>
    <w:rsid w:val="005E422E"/>
    <w:rsid w:val="00600069"/>
    <w:rsid w:val="00601828"/>
    <w:rsid w:val="006106B7"/>
    <w:rsid w:val="0062568E"/>
    <w:rsid w:val="00637313"/>
    <w:rsid w:val="006475F5"/>
    <w:rsid w:val="00651753"/>
    <w:rsid w:val="00662DAD"/>
    <w:rsid w:val="00680D0A"/>
    <w:rsid w:val="00683784"/>
    <w:rsid w:val="0068468C"/>
    <w:rsid w:val="00685424"/>
    <w:rsid w:val="00690EA1"/>
    <w:rsid w:val="006A0A27"/>
    <w:rsid w:val="006A3AC8"/>
    <w:rsid w:val="006A6308"/>
    <w:rsid w:val="006C313B"/>
    <w:rsid w:val="006C7232"/>
    <w:rsid w:val="006D03C7"/>
    <w:rsid w:val="006D7CA9"/>
    <w:rsid w:val="006E239E"/>
    <w:rsid w:val="006E25E8"/>
    <w:rsid w:val="006E2F96"/>
    <w:rsid w:val="006E637D"/>
    <w:rsid w:val="006F05D5"/>
    <w:rsid w:val="006F1412"/>
    <w:rsid w:val="00707604"/>
    <w:rsid w:val="00713D60"/>
    <w:rsid w:val="0072116E"/>
    <w:rsid w:val="00721DAE"/>
    <w:rsid w:val="0072285A"/>
    <w:rsid w:val="00727544"/>
    <w:rsid w:val="00733ED3"/>
    <w:rsid w:val="0073453E"/>
    <w:rsid w:val="00735CF1"/>
    <w:rsid w:val="0074046E"/>
    <w:rsid w:val="00760515"/>
    <w:rsid w:val="007753DD"/>
    <w:rsid w:val="00777281"/>
    <w:rsid w:val="00777E8D"/>
    <w:rsid w:val="00787F36"/>
    <w:rsid w:val="007905B1"/>
    <w:rsid w:val="007923D6"/>
    <w:rsid w:val="00795798"/>
    <w:rsid w:val="007A1EBE"/>
    <w:rsid w:val="007A4C60"/>
    <w:rsid w:val="007C4B51"/>
    <w:rsid w:val="007D5468"/>
    <w:rsid w:val="007D6282"/>
    <w:rsid w:val="007D78B0"/>
    <w:rsid w:val="007E1479"/>
    <w:rsid w:val="007E71D2"/>
    <w:rsid w:val="007F06FE"/>
    <w:rsid w:val="007F2CBE"/>
    <w:rsid w:val="00802BB6"/>
    <w:rsid w:val="00812835"/>
    <w:rsid w:val="00813159"/>
    <w:rsid w:val="00813175"/>
    <w:rsid w:val="0081584B"/>
    <w:rsid w:val="00816F4D"/>
    <w:rsid w:val="00824102"/>
    <w:rsid w:val="0082432A"/>
    <w:rsid w:val="008334CE"/>
    <w:rsid w:val="00834904"/>
    <w:rsid w:val="00843D2C"/>
    <w:rsid w:val="00844255"/>
    <w:rsid w:val="00862342"/>
    <w:rsid w:val="00864E4E"/>
    <w:rsid w:val="008707AC"/>
    <w:rsid w:val="0087706E"/>
    <w:rsid w:val="008839C1"/>
    <w:rsid w:val="008911F1"/>
    <w:rsid w:val="00892F78"/>
    <w:rsid w:val="0089643A"/>
    <w:rsid w:val="008B149E"/>
    <w:rsid w:val="008B5A8B"/>
    <w:rsid w:val="008C0E34"/>
    <w:rsid w:val="008C4469"/>
    <w:rsid w:val="008D2AB3"/>
    <w:rsid w:val="008D4711"/>
    <w:rsid w:val="008D5638"/>
    <w:rsid w:val="008E118B"/>
    <w:rsid w:val="008F79F2"/>
    <w:rsid w:val="00900A36"/>
    <w:rsid w:val="009049AD"/>
    <w:rsid w:val="00905E0B"/>
    <w:rsid w:val="00913EFC"/>
    <w:rsid w:val="0092426C"/>
    <w:rsid w:val="009243B3"/>
    <w:rsid w:val="00934DE3"/>
    <w:rsid w:val="009521C5"/>
    <w:rsid w:val="009556D1"/>
    <w:rsid w:val="00955CC3"/>
    <w:rsid w:val="00956A7E"/>
    <w:rsid w:val="0096073F"/>
    <w:rsid w:val="00963831"/>
    <w:rsid w:val="00963907"/>
    <w:rsid w:val="00963CAE"/>
    <w:rsid w:val="00964812"/>
    <w:rsid w:val="00966530"/>
    <w:rsid w:val="00975F99"/>
    <w:rsid w:val="00980663"/>
    <w:rsid w:val="009A26F3"/>
    <w:rsid w:val="009A3B0A"/>
    <w:rsid w:val="009A6986"/>
    <w:rsid w:val="009B4D06"/>
    <w:rsid w:val="009D4BA6"/>
    <w:rsid w:val="009D61A0"/>
    <w:rsid w:val="009E1D16"/>
    <w:rsid w:val="009F12EC"/>
    <w:rsid w:val="00A01F44"/>
    <w:rsid w:val="00A10939"/>
    <w:rsid w:val="00A1673A"/>
    <w:rsid w:val="00A22BE1"/>
    <w:rsid w:val="00A22F3A"/>
    <w:rsid w:val="00A23EB5"/>
    <w:rsid w:val="00A26CF2"/>
    <w:rsid w:val="00A27344"/>
    <w:rsid w:val="00A3011E"/>
    <w:rsid w:val="00A31CB4"/>
    <w:rsid w:val="00A3420D"/>
    <w:rsid w:val="00A374F6"/>
    <w:rsid w:val="00A44404"/>
    <w:rsid w:val="00A44C00"/>
    <w:rsid w:val="00A571FB"/>
    <w:rsid w:val="00A60CBD"/>
    <w:rsid w:val="00A627FF"/>
    <w:rsid w:val="00A6794C"/>
    <w:rsid w:val="00AA0A34"/>
    <w:rsid w:val="00AC32BD"/>
    <w:rsid w:val="00AE25ED"/>
    <w:rsid w:val="00AE28C2"/>
    <w:rsid w:val="00AF2098"/>
    <w:rsid w:val="00AF3183"/>
    <w:rsid w:val="00B00737"/>
    <w:rsid w:val="00B106AE"/>
    <w:rsid w:val="00B2663E"/>
    <w:rsid w:val="00B322C0"/>
    <w:rsid w:val="00B34D34"/>
    <w:rsid w:val="00B40809"/>
    <w:rsid w:val="00B439B5"/>
    <w:rsid w:val="00B64CF9"/>
    <w:rsid w:val="00B65A9B"/>
    <w:rsid w:val="00B7123C"/>
    <w:rsid w:val="00B82791"/>
    <w:rsid w:val="00B84141"/>
    <w:rsid w:val="00B84E8E"/>
    <w:rsid w:val="00B8537F"/>
    <w:rsid w:val="00B85A43"/>
    <w:rsid w:val="00B8636D"/>
    <w:rsid w:val="00B8680B"/>
    <w:rsid w:val="00B87B5D"/>
    <w:rsid w:val="00B9336C"/>
    <w:rsid w:val="00BA1F92"/>
    <w:rsid w:val="00BB1B45"/>
    <w:rsid w:val="00BB2C93"/>
    <w:rsid w:val="00BB429C"/>
    <w:rsid w:val="00BB7CA9"/>
    <w:rsid w:val="00BC2F4F"/>
    <w:rsid w:val="00BC4DFB"/>
    <w:rsid w:val="00BD1A92"/>
    <w:rsid w:val="00BD5B75"/>
    <w:rsid w:val="00BE04A0"/>
    <w:rsid w:val="00BE4728"/>
    <w:rsid w:val="00BE4BA0"/>
    <w:rsid w:val="00C01120"/>
    <w:rsid w:val="00C01839"/>
    <w:rsid w:val="00C041EB"/>
    <w:rsid w:val="00C06CC1"/>
    <w:rsid w:val="00C06DC9"/>
    <w:rsid w:val="00C075AB"/>
    <w:rsid w:val="00C20C91"/>
    <w:rsid w:val="00C318C3"/>
    <w:rsid w:val="00C34231"/>
    <w:rsid w:val="00C35ACB"/>
    <w:rsid w:val="00C51CDC"/>
    <w:rsid w:val="00C608E8"/>
    <w:rsid w:val="00C62953"/>
    <w:rsid w:val="00C641F3"/>
    <w:rsid w:val="00C66625"/>
    <w:rsid w:val="00C6742B"/>
    <w:rsid w:val="00C75BF9"/>
    <w:rsid w:val="00C805EF"/>
    <w:rsid w:val="00C82EBC"/>
    <w:rsid w:val="00C84735"/>
    <w:rsid w:val="00C945EC"/>
    <w:rsid w:val="00C97045"/>
    <w:rsid w:val="00CA1F75"/>
    <w:rsid w:val="00CA2769"/>
    <w:rsid w:val="00CA5888"/>
    <w:rsid w:val="00CB01B5"/>
    <w:rsid w:val="00CB40F6"/>
    <w:rsid w:val="00CB59AB"/>
    <w:rsid w:val="00CB78E1"/>
    <w:rsid w:val="00CC0748"/>
    <w:rsid w:val="00CC2877"/>
    <w:rsid w:val="00CE0C02"/>
    <w:rsid w:val="00CE3FF6"/>
    <w:rsid w:val="00CE5349"/>
    <w:rsid w:val="00CE6161"/>
    <w:rsid w:val="00CE647D"/>
    <w:rsid w:val="00CF62BC"/>
    <w:rsid w:val="00D05EFB"/>
    <w:rsid w:val="00D21912"/>
    <w:rsid w:val="00D23217"/>
    <w:rsid w:val="00D2347B"/>
    <w:rsid w:val="00D30FFF"/>
    <w:rsid w:val="00D42921"/>
    <w:rsid w:val="00D46EE1"/>
    <w:rsid w:val="00D60C7D"/>
    <w:rsid w:val="00D62509"/>
    <w:rsid w:val="00D73854"/>
    <w:rsid w:val="00D83929"/>
    <w:rsid w:val="00D92803"/>
    <w:rsid w:val="00D95224"/>
    <w:rsid w:val="00D96749"/>
    <w:rsid w:val="00D970BA"/>
    <w:rsid w:val="00DA6BFC"/>
    <w:rsid w:val="00DC0DF4"/>
    <w:rsid w:val="00DC10FC"/>
    <w:rsid w:val="00DC130C"/>
    <w:rsid w:val="00DC5206"/>
    <w:rsid w:val="00DD5024"/>
    <w:rsid w:val="00DD6575"/>
    <w:rsid w:val="00DE0EAA"/>
    <w:rsid w:val="00DF7306"/>
    <w:rsid w:val="00E01C1B"/>
    <w:rsid w:val="00E01D16"/>
    <w:rsid w:val="00E02AB5"/>
    <w:rsid w:val="00E040F8"/>
    <w:rsid w:val="00E0617C"/>
    <w:rsid w:val="00E12B0B"/>
    <w:rsid w:val="00E136C4"/>
    <w:rsid w:val="00E15129"/>
    <w:rsid w:val="00E1591B"/>
    <w:rsid w:val="00E35306"/>
    <w:rsid w:val="00E3553B"/>
    <w:rsid w:val="00E416E1"/>
    <w:rsid w:val="00E437FD"/>
    <w:rsid w:val="00E44082"/>
    <w:rsid w:val="00E46B57"/>
    <w:rsid w:val="00E53C17"/>
    <w:rsid w:val="00E555CA"/>
    <w:rsid w:val="00E56486"/>
    <w:rsid w:val="00E6624D"/>
    <w:rsid w:val="00E70070"/>
    <w:rsid w:val="00E70321"/>
    <w:rsid w:val="00E83696"/>
    <w:rsid w:val="00E92E7E"/>
    <w:rsid w:val="00EA2779"/>
    <w:rsid w:val="00EA509C"/>
    <w:rsid w:val="00EB1C0F"/>
    <w:rsid w:val="00EB2F01"/>
    <w:rsid w:val="00EB524C"/>
    <w:rsid w:val="00EB757B"/>
    <w:rsid w:val="00EC1680"/>
    <w:rsid w:val="00EC5B66"/>
    <w:rsid w:val="00ED149D"/>
    <w:rsid w:val="00ED15E6"/>
    <w:rsid w:val="00ED3456"/>
    <w:rsid w:val="00ED7ACC"/>
    <w:rsid w:val="00EE17DD"/>
    <w:rsid w:val="00EE2DE9"/>
    <w:rsid w:val="00EF2742"/>
    <w:rsid w:val="00EF499D"/>
    <w:rsid w:val="00EF64DD"/>
    <w:rsid w:val="00EF764C"/>
    <w:rsid w:val="00F04DCA"/>
    <w:rsid w:val="00F1181A"/>
    <w:rsid w:val="00F11EF0"/>
    <w:rsid w:val="00F12A32"/>
    <w:rsid w:val="00F1429C"/>
    <w:rsid w:val="00F165DD"/>
    <w:rsid w:val="00F2366F"/>
    <w:rsid w:val="00F32EC7"/>
    <w:rsid w:val="00F34D21"/>
    <w:rsid w:val="00F37A45"/>
    <w:rsid w:val="00F416B5"/>
    <w:rsid w:val="00F5129F"/>
    <w:rsid w:val="00F52BD7"/>
    <w:rsid w:val="00F56CB3"/>
    <w:rsid w:val="00F603F6"/>
    <w:rsid w:val="00F771E0"/>
    <w:rsid w:val="00F84647"/>
    <w:rsid w:val="00FA14B4"/>
    <w:rsid w:val="00FA2335"/>
    <w:rsid w:val="00FA4BF5"/>
    <w:rsid w:val="00FA591A"/>
    <w:rsid w:val="00FB2486"/>
    <w:rsid w:val="00FB5AB4"/>
    <w:rsid w:val="00FD5044"/>
    <w:rsid w:val="00FE1A83"/>
    <w:rsid w:val="00FF02EB"/>
    <w:rsid w:val="00FF128D"/>
    <w:rsid w:val="00FF326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6B92E3D"/>
  <w15:docId w15:val="{08762808-7259-4888-8A2B-495016CBCEB6}"/>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647"/>
    <w:pPr>
      <w:spacing w:after="160" w:line="259" w:lineRule="auto"/>
    </w:pPr>
  </w:style>
  <w:style w:type="paragraph" w:styleId="Heading1">
    <w:name w:val="heading 1"/>
    <w:basedOn w:val="Normal"/>
    <w:next w:val="Normal"/>
    <w:link w:val="Heading1Char"/>
    <w:qFormat/>
    <w:rsid w:val="0068378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683784"/>
    <w:pPr>
      <w:outlineLvl w:val="1"/>
    </w:pPr>
  </w:style>
  <w:style w:type="paragraph" w:styleId="Heading3">
    <w:name w:val="heading 3"/>
    <w:basedOn w:val="Normal"/>
    <w:next w:val="Normal"/>
    <w:link w:val="Heading3Char"/>
    <w:qFormat/>
    <w:rsid w:val="00683784"/>
    <w:pPr>
      <w:outlineLvl w:val="2"/>
    </w:pPr>
  </w:style>
  <w:style w:type="paragraph" w:styleId="Heading4">
    <w:name w:val="heading 4"/>
    <w:basedOn w:val="Normal"/>
    <w:next w:val="Normal"/>
    <w:link w:val="Heading4Char"/>
    <w:qFormat/>
    <w:rsid w:val="00683784"/>
    <w:pPr>
      <w:outlineLvl w:val="3"/>
    </w:pPr>
  </w:style>
  <w:style w:type="paragraph" w:styleId="Heading5">
    <w:name w:val="heading 5"/>
    <w:basedOn w:val="Normal"/>
    <w:next w:val="Normal"/>
    <w:link w:val="Heading5Char"/>
    <w:qFormat/>
    <w:rsid w:val="00683784"/>
    <w:pPr>
      <w:outlineLvl w:val="4"/>
    </w:pPr>
  </w:style>
  <w:style w:type="paragraph" w:styleId="Heading6">
    <w:name w:val="heading 6"/>
    <w:basedOn w:val="Normal"/>
    <w:next w:val="Normal"/>
    <w:link w:val="Heading6Char"/>
    <w:qFormat/>
    <w:rsid w:val="00683784"/>
    <w:pPr>
      <w:outlineLvl w:val="5"/>
    </w:pPr>
  </w:style>
  <w:style w:type="paragraph" w:styleId="Heading7">
    <w:name w:val="heading 7"/>
    <w:basedOn w:val="Normal"/>
    <w:next w:val="Normal"/>
    <w:link w:val="Heading7Char"/>
    <w:qFormat/>
    <w:rsid w:val="00683784"/>
    <w:pPr>
      <w:outlineLvl w:val="6"/>
    </w:pPr>
  </w:style>
  <w:style w:type="paragraph" w:styleId="Heading8">
    <w:name w:val="heading 8"/>
    <w:basedOn w:val="Normal"/>
    <w:next w:val="Normal"/>
    <w:link w:val="Heading8Char"/>
    <w:qFormat/>
    <w:rsid w:val="00683784"/>
    <w:pPr>
      <w:outlineLvl w:val="7"/>
    </w:pPr>
  </w:style>
  <w:style w:type="paragraph" w:styleId="Heading9">
    <w:name w:val="heading 9"/>
    <w:basedOn w:val="Normal"/>
    <w:next w:val="Normal"/>
    <w:link w:val="Heading9Char"/>
    <w:qFormat/>
    <w:rsid w:val="0068378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85A"/>
    <w:pPr>
      <w:spacing w:after="200" w:line="276" w:lineRule="auto"/>
      <w:ind w:left="720"/>
      <w:contextualSpacing/>
    </w:pPr>
    <w:rPr>
      <w:rFonts w:ascii="Calibri" w:hAnsi="Calibri"/>
    </w:rPr>
  </w:style>
  <w:style w:type="paragraph" w:styleId="FootnoteText">
    <w:name w:val="footnote text"/>
    <w:basedOn w:val="Normal"/>
    <w:link w:val="FootnoteTextChar"/>
    <w:unhideWhenUsed/>
    <w:qFormat/>
    <w:rsid w:val="00683784"/>
    <w:pPr>
      <w:spacing w:line="240" w:lineRule="auto"/>
    </w:pPr>
    <w:rPr>
      <w:sz w:val="20"/>
      <w:szCs w:val="20"/>
    </w:rPr>
  </w:style>
  <w:style w:type="character" w:customStyle="1" w:styleId="FootnoteTextChar">
    <w:name w:val="Footnote Text Char"/>
    <w:basedOn w:val="DefaultParagraphFont"/>
    <w:link w:val="FootnoteText"/>
    <w:rsid w:val="007E71D2"/>
    <w:rPr>
      <w:sz w:val="20"/>
      <w:szCs w:val="20"/>
      <w:lang w:val="bg-BG"/>
    </w:rPr>
  </w:style>
  <w:style w:type="character" w:styleId="FootnoteReference">
    <w:name w:val="footnote reference"/>
    <w:basedOn w:val="DefaultParagraphFont"/>
    <w:unhideWhenUsed/>
    <w:qFormat/>
    <w:rsid w:val="00683784"/>
    <w:rPr>
      <w:vertAlign w:val="superscript"/>
    </w:rPr>
  </w:style>
  <w:style w:type="character" w:styleId="CommentReference">
    <w:name w:val="annotation reference"/>
    <w:basedOn w:val="DefaultParagraphFont"/>
    <w:uiPriority w:val="99"/>
    <w:semiHidden/>
    <w:unhideWhenUsed/>
    <w:rsid w:val="007A4C60"/>
    <w:rPr>
      <w:sz w:val="16"/>
      <w:szCs w:val="16"/>
    </w:rPr>
  </w:style>
  <w:style w:type="paragraph" w:styleId="CommentText">
    <w:name w:val="annotation text"/>
    <w:basedOn w:val="Normal"/>
    <w:link w:val="CommentTextChar"/>
    <w:semiHidden/>
    <w:unhideWhenUsed/>
    <w:rsid w:val="007A4C60"/>
    <w:pPr>
      <w:spacing w:line="240" w:lineRule="auto"/>
    </w:pPr>
    <w:rPr>
      <w:sz w:val="20"/>
      <w:szCs w:val="20"/>
    </w:rPr>
  </w:style>
  <w:style w:type="character" w:customStyle="1" w:styleId="CommentTextChar">
    <w:name w:val="Comment Text Char"/>
    <w:basedOn w:val="DefaultParagraphFont"/>
    <w:link w:val="CommentText"/>
    <w:semiHidden/>
    <w:rsid w:val="007A4C60"/>
    <w:rPr>
      <w:rFonts w:ascii="Times New Roman" w:eastAsia="Times New Roman" w:hAnsi="Times New Roman"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7A4C60"/>
    <w:rPr>
      <w:b/>
      <w:bCs/>
    </w:rPr>
  </w:style>
  <w:style w:type="character" w:customStyle="1" w:styleId="CommentSubjectChar">
    <w:name w:val="Comment Subject Char"/>
    <w:basedOn w:val="CommentTextChar"/>
    <w:link w:val="CommentSubject"/>
    <w:uiPriority w:val="99"/>
    <w:semiHidden/>
    <w:rsid w:val="007A4C60"/>
    <w:rPr>
      <w:rFonts w:ascii="Times New Roman" w:eastAsia="Times New Roman" w:hAnsi="Times New Roman" w:cs="Times New Roman"/>
      <w:b/>
      <w:bCs/>
      <w:sz w:val="20"/>
      <w:szCs w:val="20"/>
      <w:lang w:val="bg-BG"/>
    </w:rPr>
  </w:style>
  <w:style w:type="paragraph" w:styleId="Revision">
    <w:name w:val="Revision"/>
    <w:hidden/>
    <w:uiPriority w:val="99"/>
    <w:semiHidden/>
    <w:rsid w:val="007A4C60"/>
    <w:pPr>
      <w:spacing w:after="0" w:line="240" w:lineRule="auto"/>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A4C6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4C60"/>
    <w:rPr>
      <w:rFonts w:ascii="Tahoma" w:eastAsia="Times New Roman" w:hAnsi="Tahoma" w:cs="Tahoma"/>
      <w:sz w:val="16"/>
      <w:szCs w:val="16"/>
      <w:lang w:val="bg-BG"/>
    </w:rPr>
  </w:style>
  <w:style w:type="character" w:customStyle="1" w:styleId="normaltextrun">
    <w:name w:val="normaltextrun"/>
    <w:basedOn w:val="DefaultParagraphFont"/>
    <w:rsid w:val="00F12A32"/>
  </w:style>
  <w:style w:type="character" w:customStyle="1" w:styleId="eop">
    <w:name w:val="eop"/>
    <w:basedOn w:val="DefaultParagraphFont"/>
    <w:rsid w:val="00F12A32"/>
  </w:style>
  <w:style w:type="character" w:customStyle="1" w:styleId="spellingerror">
    <w:name w:val="spellingerror"/>
    <w:basedOn w:val="DefaultParagraphFont"/>
    <w:rsid w:val="00CC0748"/>
  </w:style>
  <w:style w:type="paragraph" w:styleId="Header">
    <w:name w:val="header"/>
    <w:basedOn w:val="Normal"/>
    <w:link w:val="HeaderChar"/>
    <w:unhideWhenUsed/>
    <w:qFormat/>
    <w:rsid w:val="00683784"/>
    <w:pPr>
      <w:tabs>
        <w:tab w:val="center" w:pos="4153"/>
        <w:tab w:val="right" w:pos="8306"/>
      </w:tabs>
      <w:spacing w:line="240" w:lineRule="auto"/>
    </w:pPr>
  </w:style>
  <w:style w:type="character" w:customStyle="1" w:styleId="HeaderChar">
    <w:name w:val="Header Char"/>
    <w:basedOn w:val="DefaultParagraphFont"/>
    <w:link w:val="Header"/>
    <w:rsid w:val="00EB1C0F"/>
    <w:rPr>
      <w:lang w:val="bg-BG"/>
    </w:rPr>
  </w:style>
  <w:style w:type="paragraph" w:styleId="Footer">
    <w:name w:val="footer"/>
    <w:basedOn w:val="Normal"/>
    <w:link w:val="FooterChar"/>
    <w:unhideWhenUsed/>
    <w:qFormat/>
    <w:rsid w:val="00683784"/>
    <w:pPr>
      <w:tabs>
        <w:tab w:val="center" w:pos="4153"/>
        <w:tab w:val="right" w:pos="8306"/>
      </w:tabs>
      <w:spacing w:line="240" w:lineRule="auto"/>
    </w:pPr>
  </w:style>
  <w:style w:type="character" w:customStyle="1" w:styleId="FooterChar">
    <w:name w:val="Footer Char"/>
    <w:basedOn w:val="DefaultParagraphFont"/>
    <w:link w:val="Footer"/>
    <w:rsid w:val="00EB1C0F"/>
    <w:rPr>
      <w:lang w:val="bg-BG"/>
    </w:rPr>
  </w:style>
  <w:style w:type="character" w:customStyle="1" w:styleId="Heading1Char">
    <w:name w:val="Heading 1 Char"/>
    <w:basedOn w:val="DefaultParagraphFont"/>
    <w:link w:val="Heading1"/>
    <w:rsid w:val="00CE5349"/>
    <w:rPr>
      <w:rFonts w:asciiTheme="majorHAnsi" w:eastAsiaTheme="majorEastAsia" w:hAnsiTheme="majorHAnsi" w:cstheme="majorBidi"/>
      <w:color w:val="365F91" w:themeColor="accent1" w:themeShade="BF"/>
      <w:sz w:val="32"/>
      <w:szCs w:val="32"/>
      <w:lang w:val="bg-BG"/>
    </w:rPr>
  </w:style>
  <w:style w:type="paragraph" w:styleId="Subtitle">
    <w:name w:val="Subtitle"/>
    <w:basedOn w:val="Normal"/>
    <w:next w:val="Normal"/>
    <w:link w:val="SubtitleChar"/>
    <w:uiPriority w:val="11"/>
    <w:qFormat/>
    <w:rsid w:val="005B2DC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B2DC3"/>
    <w:rPr>
      <w:rFonts w:eastAsiaTheme="minorEastAsia"/>
      <w:color w:val="5A5A5A" w:themeColor="text1" w:themeTint="A5"/>
      <w:spacing w:val="15"/>
      <w:lang w:val="bg-BG"/>
    </w:rPr>
  </w:style>
  <w:style w:type="character" w:styleId="Hyperlink">
    <w:name w:val="Hyperlink"/>
    <w:basedOn w:val="DefaultParagraphFont"/>
    <w:uiPriority w:val="99"/>
    <w:unhideWhenUsed/>
    <w:rsid w:val="00014E6A"/>
    <w:rPr>
      <w:color w:val="0000FF"/>
      <w:u w:val="single"/>
    </w:rPr>
  </w:style>
  <w:style w:type="character" w:customStyle="1" w:styleId="Heading2Char">
    <w:name w:val="Heading 2 Char"/>
    <w:basedOn w:val="DefaultParagraphFont"/>
    <w:link w:val="Heading2"/>
    <w:rsid w:val="00A31CB4"/>
    <w:rPr>
      <w:lang w:val="bg-BG"/>
    </w:rPr>
  </w:style>
  <w:style w:type="character" w:customStyle="1" w:styleId="Heading3Char">
    <w:name w:val="Heading 3 Char"/>
    <w:basedOn w:val="DefaultParagraphFont"/>
    <w:link w:val="Heading3"/>
    <w:rsid w:val="00A31CB4"/>
    <w:rPr>
      <w:lang w:val="bg-BG"/>
    </w:rPr>
  </w:style>
  <w:style w:type="character" w:customStyle="1" w:styleId="Heading4Char">
    <w:name w:val="Heading 4 Char"/>
    <w:basedOn w:val="DefaultParagraphFont"/>
    <w:link w:val="Heading4"/>
    <w:rsid w:val="00A31CB4"/>
    <w:rPr>
      <w:lang w:val="bg-BG"/>
    </w:rPr>
  </w:style>
  <w:style w:type="character" w:customStyle="1" w:styleId="Heading5Char">
    <w:name w:val="Heading 5 Char"/>
    <w:basedOn w:val="DefaultParagraphFont"/>
    <w:link w:val="Heading5"/>
    <w:rsid w:val="00A31CB4"/>
    <w:rPr>
      <w:lang w:val="bg-BG"/>
    </w:rPr>
  </w:style>
  <w:style w:type="character" w:customStyle="1" w:styleId="Heading6Char">
    <w:name w:val="Heading 6 Char"/>
    <w:basedOn w:val="DefaultParagraphFont"/>
    <w:link w:val="Heading6"/>
    <w:rsid w:val="00A31CB4"/>
    <w:rPr>
      <w:lang w:val="bg-BG"/>
    </w:rPr>
  </w:style>
  <w:style w:type="character" w:customStyle="1" w:styleId="Heading7Char">
    <w:name w:val="Heading 7 Char"/>
    <w:basedOn w:val="DefaultParagraphFont"/>
    <w:link w:val="Heading7"/>
    <w:rsid w:val="00A31CB4"/>
    <w:rPr>
      <w:lang w:val="bg-BG"/>
    </w:rPr>
  </w:style>
  <w:style w:type="character" w:customStyle="1" w:styleId="Heading8Char">
    <w:name w:val="Heading 8 Char"/>
    <w:basedOn w:val="DefaultParagraphFont"/>
    <w:link w:val="Heading8"/>
    <w:rsid w:val="00A31CB4"/>
    <w:rPr>
      <w:lang w:val="bg-BG"/>
    </w:rPr>
  </w:style>
  <w:style w:type="character" w:customStyle="1" w:styleId="Heading9Char">
    <w:name w:val="Heading 9 Char"/>
    <w:basedOn w:val="DefaultParagraphFont"/>
    <w:link w:val="Heading9"/>
    <w:rsid w:val="00A31CB4"/>
    <w:rPr>
      <w:lang w:val="bg-BG"/>
    </w:rPr>
  </w:style>
  <w:style w:type="paragraph" w:customStyle="1" w:styleId="quotes">
    <w:name w:val="quotes"/>
    <w:basedOn w:val="Normal"/>
    <w:next w:val="Normal"/>
    <w:rsid w:val="00A31CB4"/>
    <w:pPr>
      <w:ind w:left="72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276366">
      <w:bodyDiv w:val="1"/>
      <w:marLeft w:val="0"/>
      <w:marRight w:val="0"/>
      <w:marTop w:val="0"/>
      <w:marBottom w:val="0"/>
      <w:divBdr>
        <w:top w:val="none" w:sz="0" w:space="0" w:color="auto"/>
        <w:left w:val="none" w:sz="0" w:space="0" w:color="auto"/>
        <w:bottom w:val="none" w:sz="0" w:space="0" w:color="auto"/>
        <w:right w:val="none" w:sz="0" w:space="0" w:color="auto"/>
      </w:divBdr>
    </w:div>
    <w:div w:id="725101770">
      <w:bodyDiv w:val="1"/>
      <w:marLeft w:val="0"/>
      <w:marRight w:val="0"/>
      <w:marTop w:val="0"/>
      <w:marBottom w:val="0"/>
      <w:divBdr>
        <w:top w:val="none" w:sz="0" w:space="0" w:color="auto"/>
        <w:left w:val="none" w:sz="0" w:space="0" w:color="auto"/>
        <w:bottom w:val="none" w:sz="0" w:space="0" w:color="auto"/>
        <w:right w:val="none" w:sz="0" w:space="0" w:color="auto"/>
      </w:divBdr>
    </w:div>
    <w:div w:id="737484501">
      <w:bodyDiv w:val="1"/>
      <w:marLeft w:val="0"/>
      <w:marRight w:val="0"/>
      <w:marTop w:val="0"/>
      <w:marBottom w:val="0"/>
      <w:divBdr>
        <w:top w:val="none" w:sz="0" w:space="0" w:color="auto"/>
        <w:left w:val="none" w:sz="0" w:space="0" w:color="auto"/>
        <w:bottom w:val="none" w:sz="0" w:space="0" w:color="auto"/>
        <w:right w:val="none" w:sz="0" w:space="0" w:color="auto"/>
      </w:divBdr>
    </w:div>
    <w:div w:id="757168760">
      <w:bodyDiv w:val="1"/>
      <w:marLeft w:val="0"/>
      <w:marRight w:val="0"/>
      <w:marTop w:val="0"/>
      <w:marBottom w:val="0"/>
      <w:divBdr>
        <w:top w:val="none" w:sz="0" w:space="0" w:color="auto"/>
        <w:left w:val="none" w:sz="0" w:space="0" w:color="auto"/>
        <w:bottom w:val="none" w:sz="0" w:space="0" w:color="auto"/>
        <w:right w:val="none" w:sz="0" w:space="0" w:color="auto"/>
      </w:divBdr>
    </w:div>
    <w:div w:id="966155248">
      <w:bodyDiv w:val="1"/>
      <w:marLeft w:val="0"/>
      <w:marRight w:val="0"/>
      <w:marTop w:val="0"/>
      <w:marBottom w:val="0"/>
      <w:divBdr>
        <w:top w:val="none" w:sz="0" w:space="0" w:color="auto"/>
        <w:left w:val="none" w:sz="0" w:space="0" w:color="auto"/>
        <w:bottom w:val="none" w:sz="0" w:space="0" w:color="auto"/>
        <w:right w:val="none" w:sz="0" w:space="0" w:color="auto"/>
      </w:divBdr>
    </w:div>
    <w:div w:id="977221858">
      <w:bodyDiv w:val="1"/>
      <w:marLeft w:val="0"/>
      <w:marRight w:val="0"/>
      <w:marTop w:val="0"/>
      <w:marBottom w:val="0"/>
      <w:divBdr>
        <w:top w:val="none" w:sz="0" w:space="0" w:color="auto"/>
        <w:left w:val="none" w:sz="0" w:space="0" w:color="auto"/>
        <w:bottom w:val="none" w:sz="0" w:space="0" w:color="auto"/>
        <w:right w:val="none" w:sz="0" w:space="0" w:color="auto"/>
      </w:divBdr>
    </w:div>
    <w:div w:id="1207140338">
      <w:bodyDiv w:val="1"/>
      <w:marLeft w:val="0"/>
      <w:marRight w:val="0"/>
      <w:marTop w:val="0"/>
      <w:marBottom w:val="0"/>
      <w:divBdr>
        <w:top w:val="none" w:sz="0" w:space="0" w:color="auto"/>
        <w:left w:val="none" w:sz="0" w:space="0" w:color="auto"/>
        <w:bottom w:val="none" w:sz="0" w:space="0" w:color="auto"/>
        <w:right w:val="none" w:sz="0" w:space="0" w:color="auto"/>
      </w:divBdr>
    </w:div>
    <w:div w:id="1289623022">
      <w:bodyDiv w:val="1"/>
      <w:marLeft w:val="0"/>
      <w:marRight w:val="0"/>
      <w:marTop w:val="0"/>
      <w:marBottom w:val="0"/>
      <w:divBdr>
        <w:top w:val="none" w:sz="0" w:space="0" w:color="auto"/>
        <w:left w:val="none" w:sz="0" w:space="0" w:color="auto"/>
        <w:bottom w:val="none" w:sz="0" w:space="0" w:color="auto"/>
        <w:right w:val="none" w:sz="0" w:space="0" w:color="auto"/>
      </w:divBdr>
    </w:div>
    <w:div w:id="1420254963">
      <w:bodyDiv w:val="1"/>
      <w:marLeft w:val="0"/>
      <w:marRight w:val="0"/>
      <w:marTop w:val="0"/>
      <w:marBottom w:val="0"/>
      <w:divBdr>
        <w:top w:val="none" w:sz="0" w:space="0" w:color="auto"/>
        <w:left w:val="none" w:sz="0" w:space="0" w:color="auto"/>
        <w:bottom w:val="none" w:sz="0" w:space="0" w:color="auto"/>
        <w:right w:val="none" w:sz="0" w:space="0" w:color="auto"/>
      </w:divBdr>
    </w:div>
    <w:div w:id="1757707581">
      <w:bodyDiv w:val="1"/>
      <w:marLeft w:val="0"/>
      <w:marRight w:val="0"/>
      <w:marTop w:val="0"/>
      <w:marBottom w:val="0"/>
      <w:divBdr>
        <w:top w:val="none" w:sz="0" w:space="0" w:color="auto"/>
        <w:left w:val="none" w:sz="0" w:space="0" w:color="auto"/>
        <w:bottom w:val="none" w:sz="0" w:space="0" w:color="auto"/>
        <w:right w:val="none" w:sz="0" w:space="0" w:color="auto"/>
      </w:divBdr>
    </w:div>
    <w:div w:id="1924946861">
      <w:bodyDiv w:val="1"/>
      <w:marLeft w:val="0"/>
      <w:marRight w:val="0"/>
      <w:marTop w:val="0"/>
      <w:marBottom w:val="0"/>
      <w:divBdr>
        <w:top w:val="none" w:sz="0" w:space="0" w:color="auto"/>
        <w:left w:val="none" w:sz="0" w:space="0" w:color="auto"/>
        <w:bottom w:val="none" w:sz="0" w:space="0" w:color="auto"/>
        <w:right w:val="none" w:sz="0" w:space="0" w:color="auto"/>
      </w:divBdr>
    </w:div>
    <w:div w:id="2066681319">
      <w:bodyDiv w:val="1"/>
      <w:marLeft w:val="0"/>
      <w:marRight w:val="0"/>
      <w:marTop w:val="0"/>
      <w:marBottom w:val="0"/>
      <w:divBdr>
        <w:top w:val="none" w:sz="0" w:space="0" w:color="auto"/>
        <w:left w:val="none" w:sz="0" w:space="0" w:color="auto"/>
        <w:bottom w:val="none" w:sz="0" w:space="0" w:color="auto"/>
        <w:right w:val="none" w:sz="0" w:space="0" w:color="auto"/>
      </w:divBdr>
    </w:div>
    <w:div w:id="211825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26" Type="http://schemas.openxmlformats.org/officeDocument/2006/relationships/customXml" Target="../customXml/item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5" Type="http://schemas.microsoft.com/office/2016/09/relationships/commentsIds" Target="commentsIds.xml"/><Relationship Id="rId16" Type="http://schemas.openxmlformats.org/officeDocument/2006/relationships/footer" Target="footer1.xml"/><Relationship Id="rId29" Type="http://schemas.openxmlformats.org/officeDocument/2006/relationships/customXml" Target="../customXml/item4.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15" Type="http://schemas.openxmlformats.org/officeDocument/2006/relationships/hyperlink" Target="https://s3platform.jrc.ec.europa.eu/social-economy" TargetMode="External"/><Relationship Id="rId28" Type="http://schemas.openxmlformats.org/officeDocument/2006/relationships/customXml" Target="../customXml/item3.xml"/><Relationship Id="rId10" Type="http://schemas.openxmlformats.org/officeDocument/2006/relationships/footnotes" Target="footnotes.xml"/><Relationship Id="rId9" Type="http://schemas.openxmlformats.org/officeDocument/2006/relationships/webSettings" Target="webSettings.xml"/><Relationship Id="rId14" Type="http://schemas.openxmlformats.org/officeDocument/2006/relationships/hyperlink" Target="https://www.europeanjobdays.eu/bg" TargetMode="External"/><Relationship Id="rId27"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xUriServ/LexUriServ.do?uri=OJ:C:2012:102:0006:0010:BG:PDF" TargetMode="External"/><Relationship Id="rId1" Type="http://schemas.openxmlformats.org/officeDocument/2006/relationships/hyperlink" Target="https://ec.europa.eu/commission/sites/beta-political/files/reflection-paper-social-dimension-europe_bg.pdf"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3T5AXJEHYTWU-1246943346-5634</_dlc_DocId>
    <_dlc_DocIdUrl xmlns="0b452354-65a4-4dd6-8824-e6b830247e3e">
      <Url>http://dm2016/cor/2020/_layouts/15/DocIdRedir.aspx?ID=3T5AXJEHYTWU-1246943346-5634</Url>
      <Description>3T5AXJEHYTWU-1246943346-5634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TCD</TermName>
          <TermId xmlns="http://schemas.microsoft.com/office/infopath/2007/PartnerControls">cd9d6eb6-3f4f-424a-b2d1-57c9d450eaaf</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2020-11-23T12:00:00+00:00</ProductionDate>
    <FicheYear xmlns="0b452354-65a4-4dd6-8824-e6b830247e3e">2020</FicheYear>
    <DocumentNumber xmlns="4bbe3f12-7728-4332-8165-6531ead52725">4835</DocumentNumber>
    <DocumentVersion xmlns="0b452354-65a4-4dd6-8824-e6b830247e3e">1</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31</Value>
      <Value>30</Value>
      <Value>29</Value>
      <Value>27</Value>
      <Value>26</Value>
      <Value>25</Value>
      <Value>23</Value>
      <Value>22</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12567</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FCA837AE-8E1B-44B0-A75A-5D4C3A972CF0}"/>
</file>

<file path=customXml/itemProps2.xml><?xml version="1.0" encoding="utf-8"?>
<ds:datastoreItem xmlns:ds="http://schemas.openxmlformats.org/officeDocument/2006/customXml" ds:itemID="{23C9D80C-5A34-416C-8272-64A25B3E44A1}"/>
</file>

<file path=customXml/itemProps3.xml><?xml version="1.0" encoding="utf-8"?>
<ds:datastoreItem xmlns:ds="http://schemas.openxmlformats.org/officeDocument/2006/customXml" ds:itemID="{6C74C0D4-5A94-4373-8B36-DD32C3634245}"/>
</file>

<file path=customXml/itemProps4.xml><?xml version="1.0" encoding="utf-8"?>
<ds:datastoreItem xmlns:ds="http://schemas.openxmlformats.org/officeDocument/2006/customXml" ds:itemID="{1C7C4BE0-5C0F-4F5A-83F0-D159F50F2CBB}"/>
</file>

<file path=docProps/app.xml><?xml version="1.0" encoding="utf-8"?>
<Properties xmlns="http://schemas.openxmlformats.org/officeDocument/2006/extended-properties" xmlns:vt="http://schemas.openxmlformats.org/officeDocument/2006/docPropsVTypes">
  <Template>Styles</Template>
  <TotalTime>9</TotalTime>
  <Pages>10</Pages>
  <Words>3090</Words>
  <Characters>17613</Characters>
  <Application>Microsoft Office Word</Application>
  <DocSecurity>0</DocSecurity>
  <Lines>146</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EESC-ECOR</Company>
  <LinksUpToDate>false</LinksUpToDate>
  <CharactersWithSpaces>20662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Съвместен документ на КР и ГД Трудова заетост, социални въпроси и приобщаване - области за засилено сътрудничество</dc:title>
  <dc:creator>Thomas Wobben</dc:creator>
  <cp:keywords>COR-2020-04835-00-01-TCD-TRA-EN</cp:keywords>
  <dc:description>Rapporteur:  - Original language: EN - Date of document: 23/11/2020 - Date of meeting: 25/11/2020 - External documents:  - Administrator:  PETRAS Georgios</dc:description>
  <cp:lastModifiedBy>Ilieva Albena</cp:lastModifiedBy>
  <cp:revision>4</cp:revision>
  <cp:lastPrinted>2020-10-07T12:59:00Z</cp:lastPrinted>
  <dcterms:created xsi:type="dcterms:W3CDTF">2020-11-20T14:14:00Z</dcterms:created>
  <dcterms:modified xsi:type="dcterms:W3CDTF">2020-11-23T16:40:00Z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17/11/2020, 17/11/2020, 03/11/2020</vt:lpwstr>
  </property>
  <property fmtid="{D5CDD505-2E9C-101B-9397-08002B2CF9AE}" pid="4" name="Pref_Time">
    <vt:lpwstr>17:11:11, 17:01:01, 11:51:23</vt:lpwstr>
  </property>
  <property fmtid="{D5CDD505-2E9C-101B-9397-08002B2CF9AE}" pid="5" name="Pref_User">
    <vt:lpwstr>enied, ssex, amett</vt:lpwstr>
  </property>
  <property fmtid="{D5CDD505-2E9C-101B-9397-08002B2CF9AE}" pid="6" name="Pref_FileName">
    <vt:lpwstr>COR-2020-04835-00-01-TCD-TRA-EN-CRR.docx, COR-2020-04835-00-01-TCD-CRR-EN.docx, COR-2020-04835-00-00-TCD-TRA-EN-CRR.docx</vt:lpwstr>
  </property>
  <property fmtid="{D5CDD505-2E9C-101B-9397-08002B2CF9AE}" pid="7" name="ContentTypeId">
    <vt:lpwstr>0x010100EA97B91038054C99906057A708A1480A00165174FC8F090445A2AE79FCF6D9A29A</vt:lpwstr>
  </property>
  <property fmtid="{D5CDD505-2E9C-101B-9397-08002B2CF9AE}" pid="8" name="_dlc_DocIdItemGuid">
    <vt:lpwstr>de9e43fa-380e-40b7-8534-d30434de880a</vt:lpwstr>
  </property>
  <property fmtid="{D5CDD505-2E9C-101B-9397-08002B2CF9AE}" pid="9" name="AvailableTranslations">
    <vt:lpwstr>31;#LV|46f7e311-5d9f-4663-b433-18aeccb7ace7;#4;#FR|d2afafd3-4c81-4f60-8f52-ee33f2f54ff3;#16;#ES|e7a6b05b-ae16-40c8-add9-68b64b03aeba;#36;#FI|87606a43-d45f-42d6-b8c9-e1a3457db5b7;#34;#CS|72f9705b-0217-4fd3-bea2-cbc7ed80e26e;#19;#LT|a7ff5ce7-6123-4f68-865a-a57c31810414;#35;#PT|50ccc04a-eadd-42ae-a0cb-acaf45f812ba;#13;#HR|2f555653-ed1a-4fe6-8362-9082d95989e5;#12;#EL|6d4f4d51-af9b-4650-94b4-4276bee85c91;#38;#RO|feb747a2-64cd-4299-af12-4833ddc30497;#14;#MT|7df99101-6854-4a26-b53a-b88c0da02c26;#18;#NL|55c6556c-b4f4-441d-9acf-c498d4f838bd;#23;#DE|f6b31e5a-26fa-4935-b661-318e46daf27e;#30;#DA|5d49c027-8956-412b-aa16-e85a0f96ad0e;#27;#HU|6b229040-c589-4408-b4c1-4285663d20a8;#26;#SL|98a412ae-eb01-49e9-ae3d-585a81724cfc;#17;#PL|1e03da61-4678-4e07-b136-b5024ca9197b;#37;#BG|1a1b3951-7821-4e6a-85f5-5673fc08bd2c;#29;#SV|c2ed69e7-a339-43d7-8f22-d93680a92aa0;#25;#ET|ff6c3f4c-b02c-4c3c-ab07-2c37995a7a0a;#11;#IT|0774613c-01ed-4e5d-a25d-11d2388de825;#15;#SK|46d9fce0-ef79-4f71-b89b-cd6aa82426b8;#7;#EN|f2175f21-25d7-44a3-96da-d6a61b075e1b</vt:lpwstr>
  </property>
  <property fmtid="{D5CDD505-2E9C-101B-9397-08002B2CF9AE}" pid="10" name="DocumentType_0">
    <vt:lpwstr>TCD|cd9d6eb6-3f4f-424a-b2d1-57c9d450eaaf</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4835</vt:i4>
  </property>
  <property fmtid="{D5CDD505-2E9C-101B-9397-08002B2CF9AE}" pid="15" name="FicheYear">
    <vt:i4>2020</vt:i4>
  </property>
  <property fmtid="{D5CDD505-2E9C-101B-9397-08002B2CF9AE}" pid="16" name="DocumentVersion">
    <vt:i4>1</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22;#TCD|cd9d6eb6-3f4f-424a-b2d1-57c9d450eaaf</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LV|46f7e311-5d9f-4663-b433-18aeccb7ace7;LT|a7ff5ce7-6123-4f68-865a-a57c31810414;PT|50ccc04a-eadd-42ae-a0cb-acaf45f812ba;HR|2f555653-ed1a-4fe6-8362-9082d95989e5;MT|7df99101-6854-4a26-b53a-b88c0da02c26;DA|5d49c027-8956-412b-aa16-e85a0f96ad0e;SL|98a412ae-eb01-49e9-ae3d-585a81724cfc;PL|1e03da61-4678-4e07-b136-b5024ca9197b;SV|c2ed69e7-a339-43d7-8f22-d93680a92aa0;ET|ff6c3f4c-b02c-4c3c-ab07-2c37995a7a0a;EN|f2175f21-25d7-44a3-96da-d6a61b075e1b</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35;#PT|50ccc04a-eadd-42ae-a0cb-acaf45f812ba;#31;#LV|46f7e311-5d9f-4663-b433-18aeccb7ace7;#30;#DA|5d49c027-8956-412b-aa16-e85a0f96ad0e;#29;#SV|c2ed69e7-a339-43d7-8f22-d93680a92aa0;#26;#SL|98a412ae-eb01-49e9-ae3d-585a81724cfc;#25;#ET|ff6c3f4c-b02c-4c3c-ab07-2c37995a7a0a;#50;#SEDEC-VII|2234d809-5ab4-4b5b-84d4-8dd3531523c3;#22;#TCD|cd9d6eb6-3f4f-424a-b2d1-57c9d450eaaf;#19;#LT|a7ff5ce7-6123-4f68-865a-a57c31810414;#17;#PL|1e03da61-4678-4e07-b136-b5024ca9197b;#14;#MT|7df99101-6854-4a26-b53a-b88c0da02c26;#13;#HR|2f555653-ed1a-4fe6-8362-9082d95989e5;#8;#TRA|150d2a88-1431-44e6-a8ca-0bb753ab8672;#7;#EN|f2175f21-25d7-44a3-96da-d6a61b075e1b;#6;#Final|ea5e6674-7b27-4bac-b091-73adbb394efe;#5;#Unrestricted|826e22d7-d029-4ec0-a450-0c28ff673572;#1;#CoR|cb2d75ef-4a7d-4393-b797-49ed6298a5e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12567</vt:i4>
  </property>
  <property fmtid="{D5CDD505-2E9C-101B-9397-08002B2CF9AE}" pid="38" name="DocumentLanguage">
    <vt:lpwstr>37;#BG|1a1b3951-7821-4e6a-85f5-5673fc08bd2c</vt:lpwstr>
  </property>
</Properties>
</file>