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484BFA" w:rsidP="00484BFA">
      <w:pPr>
        <w:spacing w:after="0" w:line="288" w:lineRule="auto"/>
        <w:rPr>
          <w:b/>
          <w:sz w:val="36"/>
          <w:szCs w:val="36"/>
          <w:u w:val="single"/>
        </w:rPr>
      </w:pPr>
      <w:bookmarkStart w:id="0" w:name="_GoBack"/>
      <w:bookmarkEnd w:id="0"/>
      <w:r w:rsidRPr="003F2E47">
        <w:rPr>
          <w:b/>
          <w:noProof/>
          <w:sz w:val="36"/>
          <w:szCs w:val="36"/>
          <w:u w:val="single"/>
          <w:lang w:eastAsia="da-DK"/>
        </w:rPr>
        <w:drawing>
          <wp:anchor distT="0" distB="0" distL="114300" distR="114300" simplePos="0" relativeHeight="251661312" behindDoc="0" locked="0" layoutInCell="1" allowOverlap="1" wp14:anchorId="36F18639" wp14:editId="6AB705BB">
            <wp:simplePos x="0" y="0"/>
            <wp:positionH relativeFrom="column">
              <wp:posOffset>4434951</wp:posOffset>
            </wp:positionH>
            <wp:positionV relativeFrom="paragraph">
              <wp:posOffset>22004</wp:posOffset>
            </wp:positionV>
            <wp:extent cx="1131570" cy="780415"/>
            <wp:effectExtent l="0" t="0" r="0" b="635"/>
            <wp:wrapSquare wrapText="bothSides"/>
            <wp:docPr id="3" name="Picture 3" descr="\\isis\dfs\uvan\Documents\My Pictures\logo_ce-da-pantone-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is\dfs\uvan\Documents\My Pictures\logo_ce-da-pantone-h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31570" cy="7804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4BFA">
        <w:rPr>
          <w:noProof/>
          <w:lang w:eastAsia="da-DK"/>
        </w:rPr>
        <w:drawing>
          <wp:anchor distT="0" distB="0" distL="114300" distR="114300" simplePos="0" relativeHeight="251660288" behindDoc="0" locked="0" layoutInCell="1" allowOverlap="1">
            <wp:simplePos x="0" y="0"/>
            <wp:positionH relativeFrom="column">
              <wp:posOffset>53754</wp:posOffset>
            </wp:positionH>
            <wp:positionV relativeFrom="paragraph">
              <wp:posOffset>-153946</wp:posOffset>
            </wp:positionV>
            <wp:extent cx="1271905" cy="1101090"/>
            <wp:effectExtent l="0" t="0" r="4445" b="3810"/>
            <wp:wrapSquare wrapText="bothSides"/>
            <wp:docPr id="11" name="Picture 11" descr="C:\Users\mreg\Music\New LOGO\Logo\logo_CoR-vertical-positive-da-quadri_MR.jpg" title="CoRLogo_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eg\Music\New LOGO\Logo\logo_CoR-vertical-positive-da-quadri_M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71905" cy="1101090"/>
                    </a:xfrm>
                    <a:prstGeom prst="rect">
                      <a:avLst/>
                    </a:prstGeom>
                    <a:noFill/>
                    <a:ln>
                      <a:noFill/>
                    </a:ln>
                  </pic:spPr>
                </pic:pic>
              </a:graphicData>
            </a:graphic>
          </wp:anchor>
        </w:drawing>
      </w:r>
    </w:p>
    <w:p w:rsidR="00B87B5D" w:rsidRPr="003814FB" w:rsidRDefault="00C82EBC" w:rsidP="00484BFA">
      <w:pPr>
        <w:spacing w:after="0" w:line="288" w:lineRule="auto"/>
        <w:jc w:val="center"/>
        <w:rPr>
          <w:b/>
          <w:sz w:val="36"/>
          <w:szCs w:val="36"/>
          <w:u w:val="single"/>
        </w:rPr>
      </w:pPr>
      <w:r>
        <w:rPr>
          <w:b/>
          <w:noProof/>
          <w:sz w:val="20"/>
          <w:szCs w:val="36"/>
          <w:u w:val="single"/>
          <w:lang w:eastAsia="da-DK"/>
        </w:rPr>
        <mc:AlternateContent>
          <mc:Choice Requires="wps">
            <w:drawing>
              <wp:anchor distT="0" distB="0" distL="114300" distR="114300" simplePos="0" relativeHeight="251658240"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rsidR="00484BFA" w:rsidRDefault="00484BFA" w:rsidP="00484BFA">
      <w:pPr>
        <w:spacing w:after="0" w:line="288" w:lineRule="auto"/>
        <w:jc w:val="center"/>
        <w:rPr>
          <w:b/>
          <w:sz w:val="36"/>
          <w:u w:val="single"/>
        </w:rPr>
      </w:pPr>
    </w:p>
    <w:p w:rsidR="00484BFA" w:rsidRDefault="00484BFA" w:rsidP="00484BFA">
      <w:pPr>
        <w:spacing w:after="0" w:line="288" w:lineRule="auto"/>
        <w:jc w:val="center"/>
        <w:rPr>
          <w:b/>
          <w:sz w:val="36"/>
          <w:u w:val="single"/>
        </w:rPr>
      </w:pPr>
    </w:p>
    <w:p w:rsidR="0072285A" w:rsidRPr="003814FB" w:rsidRDefault="00C34231" w:rsidP="00484BFA">
      <w:pPr>
        <w:spacing w:after="0" w:line="288" w:lineRule="auto"/>
        <w:jc w:val="center"/>
        <w:rPr>
          <w:b/>
          <w:sz w:val="36"/>
          <w:u w:val="single"/>
        </w:rPr>
      </w:pPr>
      <w:r>
        <w:rPr>
          <w:b/>
          <w:sz w:val="36"/>
          <w:u w:val="single"/>
        </w:rPr>
        <w:t>Områder med forstærket samarbejde mellem Det Europæiske Regionsudvalg (RU) og Kommissionens Generaldirektorat for Beskæftigelse, Sociale Anliggender, Arbejdsmarkedsforhold og Inklusion (GD EMPL)</w:t>
      </w:r>
    </w:p>
    <w:p w:rsidR="001C24E4" w:rsidRPr="003814FB" w:rsidRDefault="001C24E4" w:rsidP="00484BFA">
      <w:pPr>
        <w:spacing w:after="0" w:line="288" w:lineRule="auto"/>
        <w:jc w:val="center"/>
        <w:rPr>
          <w:b/>
          <w:sz w:val="36"/>
          <w:szCs w:val="36"/>
          <w:u w:val="single"/>
          <w:lang w:val="en-GB"/>
        </w:rPr>
      </w:pPr>
    </w:p>
    <w:p w:rsidR="009521C5" w:rsidRDefault="009521C5" w:rsidP="00484BFA">
      <w:pPr>
        <w:pStyle w:val="Heading1"/>
        <w:numPr>
          <w:ilvl w:val="0"/>
          <w:numId w:val="22"/>
        </w:numPr>
        <w:spacing w:before="0" w:after="0" w:line="288" w:lineRule="auto"/>
        <w:ind w:left="567" w:hanging="567"/>
        <w:rPr>
          <w:rFonts w:ascii="Times New Roman" w:hAnsi="Times New Roman"/>
          <w:b/>
          <w:color w:val="auto"/>
          <w:sz w:val="24"/>
        </w:rPr>
      </w:pPr>
      <w:r>
        <w:rPr>
          <w:rFonts w:ascii="Times New Roman" w:hAnsi="Times New Roman"/>
          <w:b/>
          <w:color w:val="auto"/>
          <w:sz w:val="24"/>
        </w:rPr>
        <w:t>Indledning</w:t>
      </w:r>
    </w:p>
    <w:p w:rsidR="00484BFA" w:rsidRPr="00484BFA" w:rsidRDefault="00484BFA" w:rsidP="00484BFA"/>
    <w:p w:rsidR="00014E6A" w:rsidRPr="00605E9C" w:rsidRDefault="00C82EBC" w:rsidP="00484BFA">
      <w:pPr>
        <w:spacing w:after="0" w:line="288" w:lineRule="auto"/>
        <w:jc w:val="both"/>
        <w:rPr>
          <w:rFonts w:cstheme="minorHAnsi"/>
          <w:color w:val="000000"/>
        </w:rPr>
      </w:pPr>
      <w:r w:rsidRPr="00605E9C">
        <w:rPr>
          <w:rFonts w:cstheme="minorHAnsi"/>
        </w:rPr>
        <w:t>Selv før covid-19-krisen stod det klart, at et "socialt Europa" er afgørende for EU's bidrag til demokratiske, samhørige og fremgangsrige samfund med kulturel mangfoldighed. Det indebærer økonomisk og social fremgang, der modvirker forskelsbehandling og social udstødelse, og som ruster europæerne til arbejdsmarkedet og giver dem mulighed for at leve et tilfredsstillende liv</w:t>
      </w:r>
      <w:r w:rsidR="00014E6A" w:rsidRPr="00484BFA">
        <w:rPr>
          <w:rStyle w:val="FootnoteReference"/>
          <w:rFonts w:cstheme="minorHAnsi"/>
          <w:sz w:val="24"/>
          <w:lang w:val="en-GB"/>
        </w:rPr>
        <w:footnoteReference w:id="2"/>
      </w:r>
      <w:r w:rsidRPr="00605E9C">
        <w:rPr>
          <w:rFonts w:cstheme="minorHAnsi"/>
        </w:rPr>
        <w:t xml:space="preserve">. </w:t>
      </w:r>
    </w:p>
    <w:p w:rsidR="00484BFA" w:rsidRDefault="00484BFA" w:rsidP="00484BFA">
      <w:pPr>
        <w:spacing w:after="0" w:line="288" w:lineRule="auto"/>
        <w:jc w:val="both"/>
        <w:rPr>
          <w:rFonts w:cstheme="minorHAnsi"/>
        </w:rPr>
      </w:pPr>
    </w:p>
    <w:p w:rsidR="00014E6A" w:rsidRPr="00605E9C" w:rsidRDefault="00014E6A" w:rsidP="00484BFA">
      <w:pPr>
        <w:spacing w:after="0" w:line="288" w:lineRule="auto"/>
        <w:jc w:val="both"/>
        <w:rPr>
          <w:rFonts w:cstheme="minorHAnsi"/>
        </w:rPr>
      </w:pPr>
      <w:r w:rsidRPr="00605E9C">
        <w:rPr>
          <w:rFonts w:cstheme="minorHAnsi"/>
        </w:rPr>
        <w:t xml:space="preserve">Selv om Det Europæiske Regionsudvalg (RU) og Generaldirektoratet for Beskæftigelse, Sociale Anliggender, Arbejdsmarkedsforhold og Inklusion (GD EMPL) tidligere har samarbejdet på flere områder, er det meget tydeligt, at de forestående udfordringer og den store interesse hos den ansvarlige kommissær gør det muligt at løfte samarbejdet mellem Kommissionen og RU på dette område op på et nyt plan. </w:t>
      </w:r>
    </w:p>
    <w:p w:rsidR="00014E6A" w:rsidRPr="00605E9C" w:rsidRDefault="00014E6A" w:rsidP="00484BFA">
      <w:pPr>
        <w:spacing w:after="0" w:line="288" w:lineRule="auto"/>
        <w:rPr>
          <w:rFonts w:cstheme="minorHAnsi"/>
          <w:lang w:val="en-GB"/>
        </w:rPr>
      </w:pPr>
    </w:p>
    <w:p w:rsidR="00014E6A" w:rsidRPr="00605E9C" w:rsidRDefault="00014E6A" w:rsidP="00484BFA">
      <w:pPr>
        <w:pStyle w:val="ListParagraph"/>
        <w:numPr>
          <w:ilvl w:val="0"/>
          <w:numId w:val="26"/>
        </w:numPr>
        <w:spacing w:after="0" w:line="288" w:lineRule="auto"/>
        <w:ind w:left="360"/>
        <w:jc w:val="both"/>
        <w:rPr>
          <w:rFonts w:asciiTheme="minorHAnsi" w:hAnsiTheme="minorHAnsi" w:cstheme="minorHAnsi"/>
        </w:rPr>
      </w:pPr>
      <w:r w:rsidRPr="00605E9C">
        <w:rPr>
          <w:rFonts w:asciiTheme="minorHAnsi" w:hAnsiTheme="minorHAnsi" w:cstheme="minorHAnsi"/>
        </w:rPr>
        <w:t xml:space="preserve">Kommissær Nicolas Schmit har udvist stor interesse for RU og har allerede deltaget i to plenarforsamlinger og et møde i Underudvalget for Social- og Arbejdsmarkedspolitik (SEDEC) på mindre end et år. </w:t>
      </w:r>
    </w:p>
    <w:p w:rsidR="00164C40" w:rsidRPr="00605E9C" w:rsidRDefault="00164C40" w:rsidP="00484BFA">
      <w:pPr>
        <w:pStyle w:val="ListParagraph"/>
        <w:numPr>
          <w:ilvl w:val="0"/>
          <w:numId w:val="26"/>
        </w:numPr>
        <w:spacing w:after="0" w:line="288" w:lineRule="auto"/>
        <w:ind w:left="360"/>
        <w:jc w:val="both"/>
        <w:rPr>
          <w:rFonts w:asciiTheme="minorHAnsi" w:hAnsiTheme="minorHAnsi" w:cstheme="minorHAnsi"/>
        </w:rPr>
      </w:pPr>
      <w:r w:rsidRPr="00605E9C">
        <w:rPr>
          <w:rFonts w:asciiTheme="minorHAnsi" w:hAnsiTheme="minorHAnsi" w:cstheme="minorHAnsi"/>
        </w:rPr>
        <w:t>Joost Korte (generaldirektør for GD EMPL) deltog i SEDEC-mødet i februar 2020, hvor han i sin tale opfordrede RU's medlemmer til at give feedback i tråd med Kommissionens meddelelse om et stærkt socialt Europa for retfærdig omstilling (SEDEC er allerede i færd med at udarbejde en udtalelse herom).</w:t>
      </w:r>
    </w:p>
    <w:p w:rsidR="00164C40" w:rsidRPr="00605E9C" w:rsidRDefault="00164C40" w:rsidP="00484BFA">
      <w:pPr>
        <w:pStyle w:val="ListParagraph"/>
        <w:numPr>
          <w:ilvl w:val="0"/>
          <w:numId w:val="26"/>
        </w:numPr>
        <w:spacing w:after="0" w:line="288" w:lineRule="auto"/>
        <w:ind w:left="360"/>
        <w:jc w:val="both"/>
        <w:rPr>
          <w:rFonts w:asciiTheme="minorHAnsi" w:hAnsiTheme="minorHAnsi" w:cstheme="minorHAnsi"/>
        </w:rPr>
      </w:pPr>
      <w:r w:rsidRPr="00605E9C">
        <w:rPr>
          <w:rFonts w:asciiTheme="minorHAnsi" w:hAnsiTheme="minorHAnsi" w:cstheme="minorHAnsi"/>
        </w:rPr>
        <w:t>Både kommissæren og generaldirektøren var klare i mælet om, at de forventede, at RU deltager aktivt i forberedelserne af det sociale topmøde i Porto (maj 2021) og handlingsplanen for gennemførelsen af den europæiske søjle for sociale rettigheder.</w:t>
      </w:r>
    </w:p>
    <w:p w:rsidR="006A6308" w:rsidRDefault="006A6308" w:rsidP="00484BFA">
      <w:pPr>
        <w:pStyle w:val="ListParagraph"/>
        <w:numPr>
          <w:ilvl w:val="0"/>
          <w:numId w:val="26"/>
        </w:numPr>
        <w:spacing w:after="0" w:line="288" w:lineRule="auto"/>
        <w:ind w:left="360"/>
        <w:jc w:val="both"/>
        <w:rPr>
          <w:rFonts w:asciiTheme="minorHAnsi" w:hAnsiTheme="minorHAnsi" w:cstheme="minorHAnsi"/>
        </w:rPr>
      </w:pPr>
      <w:r w:rsidRPr="00605E9C">
        <w:rPr>
          <w:rFonts w:asciiTheme="minorHAnsi" w:hAnsiTheme="minorHAnsi" w:cstheme="minorHAnsi"/>
        </w:rPr>
        <w:lastRenderedPageBreak/>
        <w:t>Gensidigt samarbejde blev fremmet yderligere på mødet mellem kommissæren og RU's formand (9. juli), hvor det blev slået fast, at begge institutioner bør finde flere samarbejdsmuligheder.</w:t>
      </w:r>
    </w:p>
    <w:p w:rsidR="00484BFA" w:rsidRPr="00484BFA" w:rsidRDefault="00484BFA" w:rsidP="00484BFA">
      <w:pPr>
        <w:spacing w:after="0" w:line="288" w:lineRule="auto"/>
        <w:jc w:val="both"/>
        <w:rPr>
          <w:rFonts w:cstheme="minorHAnsi"/>
        </w:rPr>
      </w:pPr>
    </w:p>
    <w:p w:rsidR="00864E4E" w:rsidRPr="00605E9C" w:rsidRDefault="00864E4E" w:rsidP="00484BFA">
      <w:pPr>
        <w:spacing w:after="0" w:line="288" w:lineRule="auto"/>
        <w:jc w:val="both"/>
        <w:rPr>
          <w:rFonts w:cstheme="minorHAnsi"/>
        </w:rPr>
      </w:pPr>
      <w:r w:rsidRPr="00605E9C">
        <w:rPr>
          <w:rFonts w:cstheme="minorHAnsi"/>
        </w:rPr>
        <w:t>Ifølge samarbejdsprotokollen mellem Kommissionen og Regionsudvalget (2012/C 102/02)</w:t>
      </w:r>
      <w:r w:rsidRPr="00484BFA">
        <w:rPr>
          <w:rFonts w:cstheme="minorHAnsi"/>
          <w:sz w:val="24"/>
          <w:vertAlign w:val="superscript"/>
          <w:lang w:val="en-GB"/>
        </w:rPr>
        <w:footnoteReference w:id="3"/>
      </w:r>
      <w:r w:rsidRPr="00605E9C">
        <w:rPr>
          <w:rFonts w:cstheme="minorHAnsi"/>
        </w:rPr>
        <w:t xml:space="preserve"> skal Kommissionen og RU intensivere deres samarbejde. I dette fælles notat fra RU og GD EMPL udpeges politikområderne for intensiveret samarbejde og de vigtigste instrumenter.</w:t>
      </w:r>
    </w:p>
    <w:p w:rsidR="003D208F" w:rsidRPr="00605E9C" w:rsidRDefault="003D208F" w:rsidP="00484BFA">
      <w:pPr>
        <w:spacing w:after="0" w:line="288" w:lineRule="auto"/>
        <w:rPr>
          <w:rFonts w:cstheme="minorHAnsi"/>
          <w:lang w:val="en-GB"/>
        </w:rPr>
      </w:pPr>
    </w:p>
    <w:p w:rsidR="00EB524C" w:rsidRPr="007D6282" w:rsidRDefault="00EA2779" w:rsidP="00484BFA">
      <w:pPr>
        <w:pStyle w:val="Heading1"/>
        <w:numPr>
          <w:ilvl w:val="0"/>
          <w:numId w:val="22"/>
        </w:numPr>
        <w:spacing w:before="0" w:after="0" w:line="288" w:lineRule="auto"/>
        <w:ind w:left="567" w:hanging="567"/>
        <w:rPr>
          <w:rFonts w:ascii="Times New Roman" w:hAnsi="Times New Roman"/>
          <w:b/>
          <w:color w:val="auto"/>
          <w:sz w:val="24"/>
        </w:rPr>
      </w:pPr>
      <w:r>
        <w:rPr>
          <w:rFonts w:ascii="Times New Roman" w:hAnsi="Times New Roman"/>
          <w:b/>
          <w:color w:val="auto"/>
          <w:sz w:val="24"/>
        </w:rPr>
        <w:t>Vigtige temaer for et tættere samarbejde mellem RU og GD EMPL</w:t>
      </w:r>
    </w:p>
    <w:p w:rsidR="004D765D" w:rsidRPr="003814FB" w:rsidRDefault="004D765D" w:rsidP="00484BFA">
      <w:pPr>
        <w:keepNext/>
        <w:spacing w:after="0" w:line="288" w:lineRule="auto"/>
        <w:rPr>
          <w:lang w:val="en-GB"/>
        </w:rPr>
      </w:pPr>
    </w:p>
    <w:p w:rsidR="00964812" w:rsidRPr="007D6282" w:rsidRDefault="008E118B" w:rsidP="00484BFA">
      <w:pPr>
        <w:spacing w:after="0" w:line="288" w:lineRule="auto"/>
        <w:jc w:val="both"/>
      </w:pPr>
      <w:r>
        <w:t>I betragtning af den brede vifte af temaer, der knytter sig til den sociale dimension, og omfanget af de disponible ressourcer er det vigtigt, at samarbejdet intensiveres på områder, hvor RU kan tilføre en klar merværdi, og hvor den territoriale dimension er stærkest. Selvom samarbejde på andre områder ikke er udelukket, navnlig når det gælder fremme af den sociale økonomi, er områderne for forstærket samarbejde derfor som følger:</w:t>
      </w:r>
    </w:p>
    <w:p w:rsidR="003D208F" w:rsidRPr="007D6282" w:rsidRDefault="003D208F" w:rsidP="00484BFA">
      <w:pPr>
        <w:spacing w:after="0" w:line="288" w:lineRule="auto"/>
        <w:rPr>
          <w:lang w:val="en-GB"/>
        </w:rPr>
      </w:pPr>
    </w:p>
    <w:p w:rsidR="00EA2779" w:rsidRPr="007D6282" w:rsidRDefault="00EA2779" w:rsidP="00484BFA">
      <w:pPr>
        <w:pStyle w:val="Heading2"/>
        <w:spacing w:after="0" w:line="288" w:lineRule="auto"/>
        <w:rPr>
          <w:rFonts w:asciiTheme="majorHAnsi" w:hAnsiTheme="majorHAnsi"/>
          <w:color w:val="365F91" w:themeColor="accent1" w:themeShade="BF"/>
        </w:rPr>
      </w:pPr>
      <w:r>
        <w:rPr>
          <w:rFonts w:ascii="Times New Roman" w:hAnsi="Times New Roman"/>
          <w:b/>
          <w:sz w:val="24"/>
          <w:szCs w:val="24"/>
        </w:rPr>
        <w:t>2.1.</w:t>
      </w:r>
      <w:r>
        <w:tab/>
      </w:r>
      <w:r>
        <w:rPr>
          <w:rFonts w:ascii="Times New Roman" w:hAnsi="Times New Roman"/>
          <w:b/>
          <w:sz w:val="24"/>
          <w:szCs w:val="32"/>
        </w:rPr>
        <w:t>Den europæiske søjle for sociale rettigheder</w:t>
      </w:r>
    </w:p>
    <w:p w:rsidR="00EA2779" w:rsidRPr="007D6282" w:rsidRDefault="00EA2779" w:rsidP="00484BFA">
      <w:pPr>
        <w:spacing w:after="0" w:line="288" w:lineRule="auto"/>
        <w:rPr>
          <w:b/>
          <w:u w:val="single"/>
          <w:lang w:val="en-GB"/>
        </w:rPr>
      </w:pPr>
    </w:p>
    <w:p w:rsidR="005366D6" w:rsidRPr="007D6282" w:rsidRDefault="005366D6" w:rsidP="00484BFA">
      <w:pPr>
        <w:spacing w:after="0" w:line="288" w:lineRule="auto"/>
        <w:jc w:val="both"/>
        <w:rPr>
          <w:szCs w:val="24"/>
        </w:rPr>
      </w:pPr>
      <w:r>
        <w:t>Den europæiske søjle for sociale rettigheder er et konsensusdokument, som afspejler, hvad EU står for med hensyn til beskæftigelse og sociale anliggender.</w:t>
      </w:r>
      <w:r>
        <w:rPr>
          <w:i/>
          <w:szCs w:val="24"/>
        </w:rPr>
        <w:t xml:space="preserve"> </w:t>
      </w:r>
      <w:r>
        <w:t>Søjlen blev proklameret på højeste politiske niveau og har allerede ført til vidtgående foranstaltninger på europæisk, nationalt, regionalt og lokalt plan, som styrker EU's sociale dimension. Med meddelelsen af 27. maj 2020 gjorde Kommissionen den europæiske søjle for sociale rettigheder til kernen i sin køreplan for en retfærdig og inklusiv genopretning efter covid-19-krisen.</w:t>
      </w:r>
    </w:p>
    <w:p w:rsidR="005366D6" w:rsidRPr="007D6282" w:rsidRDefault="005366D6" w:rsidP="00484BFA">
      <w:pPr>
        <w:spacing w:after="0" w:line="288" w:lineRule="auto"/>
        <w:rPr>
          <w:szCs w:val="24"/>
          <w:lang w:val="en-GB" w:eastAsia="fr-BE"/>
        </w:rPr>
      </w:pPr>
    </w:p>
    <w:p w:rsidR="005366D6" w:rsidRPr="007D6282" w:rsidRDefault="005366D6" w:rsidP="00484BFA">
      <w:pPr>
        <w:spacing w:after="0" w:line="288" w:lineRule="auto"/>
        <w:jc w:val="both"/>
        <w:rPr>
          <w:szCs w:val="24"/>
        </w:rPr>
      </w:pPr>
      <w:r>
        <w:t xml:space="preserve">I den strategiske dagsorden for 2019-2024, som blev godkendt af Det Europæiske Råd i juni 2019, opfordres der til en gennemførelse af søjlen på europæisk og nationalt plan under behørig hensyntagen til de respektive kompetencer. </w:t>
      </w:r>
    </w:p>
    <w:p w:rsidR="003D208F" w:rsidRPr="007D6282" w:rsidRDefault="003D208F" w:rsidP="00484BFA">
      <w:pPr>
        <w:spacing w:after="0" w:line="288" w:lineRule="auto"/>
        <w:rPr>
          <w:szCs w:val="24"/>
          <w:lang w:val="en-GB" w:eastAsia="en-GB"/>
        </w:rPr>
      </w:pPr>
    </w:p>
    <w:p w:rsidR="005366D6" w:rsidRPr="007D6282" w:rsidRDefault="005366D6" w:rsidP="00484BFA">
      <w:pPr>
        <w:spacing w:after="0" w:line="288" w:lineRule="auto"/>
        <w:jc w:val="both"/>
        <w:rPr>
          <w:szCs w:val="24"/>
        </w:rPr>
      </w:pPr>
      <w:r>
        <w:t>Ifølge kommissionsformand Ursula von der Leyens politiske retningslinjer for Kommissionen skal der udarbejdes en handlingsplan for, hvordan den europæiske søjle for sociale rettigheder vil kunne gennemføres fuldt ud. Kommissionen fremlægger i sin meddelelse af 14. januar 2020 om et stærkt socialt Europa for retfærdig omstilling en række vigtige foranstaltninger for 2020 og 2021, og den lancerer en bred hørings- og samarbejdsproces, der skal bidrage til arbejdet med udarbejdelse af handlingsplanen. Behovet for social støtte og beskyttelse er endnu mere akut under den nuværende covid-19-pandemi, eftersom de sociale støttesystemer i medlemsstaterne har været under et enormt pres, og EU's sociale netværk risikerer at bryde sammen.</w:t>
      </w:r>
    </w:p>
    <w:p w:rsidR="005366D6" w:rsidRPr="007D6282" w:rsidRDefault="005366D6" w:rsidP="00484BFA">
      <w:pPr>
        <w:spacing w:after="0" w:line="288" w:lineRule="auto"/>
        <w:rPr>
          <w:szCs w:val="24"/>
          <w:lang w:val="en-GB" w:eastAsia="en-GB"/>
        </w:rPr>
      </w:pPr>
    </w:p>
    <w:p w:rsidR="005366D6" w:rsidRPr="007D6282" w:rsidRDefault="005366D6" w:rsidP="00484BFA">
      <w:pPr>
        <w:autoSpaceDE w:val="0"/>
        <w:autoSpaceDN w:val="0"/>
        <w:adjustRightInd w:val="0"/>
        <w:spacing w:after="0" w:line="288" w:lineRule="auto"/>
        <w:jc w:val="both"/>
        <w:rPr>
          <w:szCs w:val="24"/>
        </w:rPr>
      </w:pPr>
      <w:r>
        <w:lastRenderedPageBreak/>
        <w:t xml:space="preserve">Kommissionen agter at præsentere handlingsplanen i begyndelsen af 2021 og opnå godkendelse heraf på højeste politiske niveau på det sociale topmøde, som afholdes af det portugisiske rådsformandskab i maj 2021. </w:t>
      </w:r>
    </w:p>
    <w:p w:rsidR="00CE0C02" w:rsidRPr="007D6282" w:rsidRDefault="00CE0C02" w:rsidP="00484BFA">
      <w:pPr>
        <w:spacing w:after="0" w:line="288" w:lineRule="auto"/>
        <w:rPr>
          <w:bCs/>
          <w:u w:val="single"/>
          <w:lang w:val="en-GB"/>
        </w:rPr>
      </w:pPr>
    </w:p>
    <w:p w:rsidR="00EA2779" w:rsidRPr="007D6282" w:rsidRDefault="00B40809" w:rsidP="00484BFA">
      <w:pPr>
        <w:spacing w:after="0" w:line="288" w:lineRule="auto"/>
        <w:jc w:val="both"/>
        <w:rPr>
          <w:bCs/>
        </w:rPr>
      </w:pPr>
      <w:r>
        <w:t>De lokale og regionale myndigheder spiller uden tvivl en vigtig rolle i forbindelse med udformningen og gennemførelsen af beskæftigelses- og sociale politikker i EU. De enkelte regioner er blevet ramt meget forskelligt af covid-19-krisen afhængigt af deres økonomiske struktur og deres eksponering for virussen. De lokale og regionale myndigheder kan bidrage til at udvikle og gennemføre tiltag som svar på krisen og således tage fat på udfordringerne for den sociale og territoriale samhørighed både før og efter krisen. Det er derfor nødvendigt at inddrage de lokale og regionale myndigheder gennem bl.a.:</w:t>
      </w:r>
    </w:p>
    <w:p w:rsidR="00CB78E1" w:rsidRPr="007D6282" w:rsidRDefault="00CB78E1" w:rsidP="00484BFA">
      <w:pPr>
        <w:spacing w:after="0" w:line="288" w:lineRule="auto"/>
        <w:rPr>
          <w:bCs/>
          <w:u w:val="single"/>
          <w:lang w:val="en-GB"/>
        </w:rPr>
      </w:pPr>
    </w:p>
    <w:p w:rsidR="00CB78E1" w:rsidRPr="00605E9C" w:rsidRDefault="00F771E0" w:rsidP="00484BFA">
      <w:pPr>
        <w:pStyle w:val="ListParagraph"/>
        <w:numPr>
          <w:ilvl w:val="0"/>
          <w:numId w:val="19"/>
        </w:numPr>
        <w:spacing w:after="0" w:line="288" w:lineRule="auto"/>
        <w:ind w:left="360"/>
        <w:jc w:val="both"/>
        <w:rPr>
          <w:rFonts w:asciiTheme="minorHAnsi" w:hAnsiTheme="minorHAnsi" w:cstheme="minorHAnsi"/>
        </w:rPr>
      </w:pPr>
      <w:r w:rsidRPr="00605E9C">
        <w:rPr>
          <w:rFonts w:asciiTheme="minorHAnsi" w:hAnsiTheme="minorHAnsi" w:cstheme="minorHAnsi"/>
        </w:rPr>
        <w:t>RU's udtalelse om et stærkt socialt Europa for retfærdig omstilling (ordfører: Anne Karjalainen (FI/PES), vedtaget på plenarforsamlingen i oktober 2020), som udgør RU's overordnede svar på Kommissionens meddelelse</w:t>
      </w:r>
    </w:p>
    <w:p w:rsidR="00421A56" w:rsidRPr="00605E9C" w:rsidRDefault="00421A56" w:rsidP="00484BFA">
      <w:pPr>
        <w:pStyle w:val="ListParagraph"/>
        <w:spacing w:after="0" w:line="288" w:lineRule="auto"/>
        <w:ind w:left="360"/>
        <w:jc w:val="both"/>
        <w:rPr>
          <w:rFonts w:asciiTheme="minorHAnsi" w:hAnsiTheme="minorHAnsi" w:cstheme="minorHAnsi"/>
          <w:bCs/>
        </w:rPr>
      </w:pPr>
    </w:p>
    <w:p w:rsidR="00176CAE" w:rsidRPr="00605E9C" w:rsidRDefault="00176CAE" w:rsidP="00484BFA">
      <w:pPr>
        <w:pStyle w:val="ListParagraph"/>
        <w:numPr>
          <w:ilvl w:val="0"/>
          <w:numId w:val="19"/>
        </w:numPr>
        <w:spacing w:after="0" w:line="288" w:lineRule="auto"/>
        <w:ind w:left="360"/>
        <w:jc w:val="both"/>
        <w:rPr>
          <w:rFonts w:asciiTheme="minorHAnsi" w:hAnsiTheme="minorHAnsi" w:cstheme="minorHAnsi"/>
        </w:rPr>
      </w:pPr>
      <w:r w:rsidRPr="00605E9C">
        <w:rPr>
          <w:rFonts w:asciiTheme="minorHAnsi" w:hAnsiTheme="minorHAnsi" w:cstheme="minorHAnsi"/>
        </w:rPr>
        <w:t>RU's udtalelse om fremtidsplan for pleje- og omsorgspersonale – lokale og regionale muligheder i lyset af en europæisk udfordring (ordfører skal bekræftes)</w:t>
      </w:r>
    </w:p>
    <w:p w:rsidR="00E136C4" w:rsidRPr="00605E9C" w:rsidRDefault="00E136C4" w:rsidP="00484BFA">
      <w:pPr>
        <w:pStyle w:val="ListParagraph"/>
        <w:spacing w:after="0" w:line="288" w:lineRule="auto"/>
        <w:ind w:left="360"/>
        <w:jc w:val="both"/>
        <w:rPr>
          <w:rFonts w:asciiTheme="minorHAnsi" w:hAnsiTheme="minorHAnsi" w:cstheme="minorHAnsi"/>
        </w:rPr>
      </w:pPr>
    </w:p>
    <w:p w:rsidR="00F771E0" w:rsidRPr="00605E9C" w:rsidRDefault="00421A56" w:rsidP="00484BFA">
      <w:pPr>
        <w:pStyle w:val="ListParagraph"/>
        <w:numPr>
          <w:ilvl w:val="0"/>
          <w:numId w:val="19"/>
        </w:numPr>
        <w:spacing w:after="0" w:line="288" w:lineRule="auto"/>
        <w:ind w:left="360"/>
        <w:jc w:val="both"/>
        <w:rPr>
          <w:rFonts w:asciiTheme="minorHAnsi" w:hAnsiTheme="minorHAnsi" w:cstheme="minorHAnsi"/>
        </w:rPr>
      </w:pPr>
      <w:r w:rsidRPr="00605E9C">
        <w:rPr>
          <w:rFonts w:asciiTheme="minorHAnsi" w:hAnsiTheme="minorHAnsi" w:cstheme="minorHAnsi"/>
        </w:rPr>
        <w:t>Konferencen "Social sikring for platformsarbejdere – udfordringer og muligheder" under den europæiske uge for regioner og byer</w:t>
      </w:r>
      <w:r w:rsidRPr="00605E9C">
        <w:rPr>
          <w:rFonts w:asciiTheme="minorHAnsi" w:hAnsiTheme="minorHAnsi" w:cstheme="minorHAnsi"/>
          <w:color w:val="000000"/>
        </w:rPr>
        <w:t xml:space="preserve"> 2020 med deltagelse af GD EMPL</w:t>
      </w:r>
    </w:p>
    <w:p w:rsidR="00267B85" w:rsidRPr="00605E9C" w:rsidRDefault="00267B85" w:rsidP="00484BFA">
      <w:pPr>
        <w:pStyle w:val="ListParagraph"/>
        <w:spacing w:after="0" w:line="288" w:lineRule="auto"/>
        <w:ind w:left="360"/>
        <w:jc w:val="both"/>
        <w:rPr>
          <w:rFonts w:asciiTheme="minorHAnsi" w:hAnsiTheme="minorHAnsi" w:cstheme="minorHAnsi"/>
        </w:rPr>
      </w:pPr>
    </w:p>
    <w:p w:rsidR="00512960" w:rsidRPr="00605E9C" w:rsidRDefault="00F5129F" w:rsidP="00484BFA">
      <w:pPr>
        <w:pStyle w:val="ListParagraph"/>
        <w:numPr>
          <w:ilvl w:val="0"/>
          <w:numId w:val="19"/>
        </w:numPr>
        <w:spacing w:after="0" w:line="288" w:lineRule="auto"/>
        <w:ind w:left="360"/>
        <w:jc w:val="both"/>
        <w:rPr>
          <w:rFonts w:asciiTheme="minorHAnsi" w:hAnsiTheme="minorHAnsi" w:cstheme="minorHAnsi"/>
          <w:b/>
          <w:u w:val="single"/>
        </w:rPr>
      </w:pPr>
      <w:r w:rsidRPr="00605E9C">
        <w:rPr>
          <w:rFonts w:asciiTheme="minorHAnsi" w:hAnsiTheme="minorHAnsi" w:cstheme="minorHAnsi"/>
        </w:rPr>
        <w:t>Sammen med det portugisiske rådsformandskab vil Kommissionen og RU undersøge, hvordan udvalget kan deltage i det sociale topmøde for at afspejle den territoriale dimension af gennemførelsen af den europæiske søjle for sociale rettigheder.</w:t>
      </w:r>
    </w:p>
    <w:p w:rsidR="00151730" w:rsidRPr="007D6282" w:rsidRDefault="00151730" w:rsidP="00484BFA">
      <w:pPr>
        <w:spacing w:after="0" w:line="288" w:lineRule="auto"/>
        <w:rPr>
          <w:lang w:val="en-GB"/>
        </w:rPr>
      </w:pPr>
    </w:p>
    <w:p w:rsidR="00EA2779" w:rsidRPr="007D6282" w:rsidRDefault="00EA2779" w:rsidP="00484BFA">
      <w:pPr>
        <w:pStyle w:val="Heading2"/>
        <w:spacing w:after="0" w:line="288" w:lineRule="auto"/>
        <w:ind w:left="426" w:hanging="426"/>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2.2.</w:t>
      </w:r>
      <w:r>
        <w:rPr>
          <w:rFonts w:ascii="Times New Roman" w:hAnsi="Times New Roman"/>
          <w:b/>
          <w:sz w:val="24"/>
          <w:szCs w:val="24"/>
        </w:rPr>
        <w:tab/>
      </w:r>
      <w:r>
        <w:rPr>
          <w:rFonts w:ascii="Times New Roman" w:hAnsi="Times New Roman"/>
          <w:b/>
          <w:sz w:val="24"/>
          <w:szCs w:val="32"/>
        </w:rPr>
        <w:t>Forberedelse af Den Europæiske Socialfond Plus (ESF+) og REACT-EU, så disse fonde kan yde tilstrækkelig finansiering til beskæftigelsestiltag for unge</w:t>
      </w:r>
    </w:p>
    <w:p w:rsidR="00527019" w:rsidRPr="007D6282" w:rsidRDefault="00527019" w:rsidP="00484BFA">
      <w:pPr>
        <w:keepNext/>
        <w:spacing w:after="0" w:line="288" w:lineRule="auto"/>
        <w:rPr>
          <w:lang w:val="en-GB"/>
        </w:rPr>
      </w:pPr>
    </w:p>
    <w:p w:rsidR="00527019" w:rsidRPr="007D6282" w:rsidRDefault="00527019" w:rsidP="00484BFA">
      <w:pPr>
        <w:spacing w:after="0" w:line="288" w:lineRule="auto"/>
        <w:jc w:val="both"/>
        <w:rPr>
          <w:bCs/>
        </w:rPr>
      </w:pPr>
      <w:r>
        <w:t>Mange lokale og regionale myndigheder er p.t. dybt involveret i forberedelsen af de fremtidige ESF+</w:t>
      </w:r>
      <w:r w:rsidR="00484BFA">
        <w:noBreakHyphen/>
      </w:r>
      <w:r>
        <w:t>programmer og i udviklingen af projekter, som vil kunne modtage støtte under ESF+. Med ESF+ foreslog Kommissionen at øge midlerne til beskæftigelsestiltag for unge i de medlemsstater, hvor andelen af unge, der ikke er i beskæftigelse eller under uddannelse, ligger over EU-gennemsnittet</w:t>
      </w:r>
      <w:r w:rsidR="006E25E8" w:rsidRPr="007D6282">
        <w:rPr>
          <w:rStyle w:val="FootnoteReference"/>
          <w:bCs/>
          <w:sz w:val="24"/>
          <w:szCs w:val="24"/>
          <w:lang w:val="en-GB"/>
        </w:rPr>
        <w:footnoteReference w:id="4"/>
      </w:r>
      <w:r>
        <w:t>. Desuden kan den nye REACT-EU støtte beskæftigelsestiltagene for unge. I lyset af den aktuelle pandemi og de virkninger, den sandsynligvis vil få for ungdomsbeskæftigelsen, er det altafgørende at udnytte denne ekstra støtte fuldt ud.</w:t>
      </w:r>
    </w:p>
    <w:p w:rsidR="00CB78E1" w:rsidRPr="007D6282" w:rsidRDefault="00CB78E1" w:rsidP="00484BFA">
      <w:pPr>
        <w:spacing w:after="0" w:line="288" w:lineRule="auto"/>
        <w:rPr>
          <w:bCs/>
          <w:u w:val="single"/>
          <w:lang w:val="en-GB"/>
        </w:rPr>
      </w:pPr>
    </w:p>
    <w:p w:rsidR="00AE28C2" w:rsidRPr="007D6282" w:rsidRDefault="00F52BD7" w:rsidP="00484BFA">
      <w:pPr>
        <w:spacing w:after="0" w:line="288" w:lineRule="auto"/>
        <w:jc w:val="both"/>
        <w:rPr>
          <w:bCs/>
        </w:rPr>
      </w:pPr>
      <w:r>
        <w:t xml:space="preserve">Hvad angår finansiering fra REACT-EU og ESF+, der ydes i form af støtte til beskæftigelsestiltag for unge, kan RU fremme udvekslingen af information og bedste praksis. Denne økonomiske støtte vil </w:t>
      </w:r>
      <w:r>
        <w:lastRenderedPageBreak/>
        <w:t>bidrage til EU's overordnede mål om at øremærke mindst 22 mia. EUR til dette formål</w:t>
      </w:r>
      <w:r w:rsidR="008911F1" w:rsidRPr="007D6282">
        <w:rPr>
          <w:rStyle w:val="FootnoteReference"/>
          <w:bCs/>
          <w:sz w:val="24"/>
          <w:szCs w:val="24"/>
          <w:lang w:val="en-GB"/>
        </w:rPr>
        <w:footnoteReference w:id="5"/>
      </w:r>
      <w:r>
        <w:t xml:space="preserve"> og vil udgøre finansieringsdelen af den styrkede ungdomsgaranti</w:t>
      </w:r>
      <w:r w:rsidR="008911F1" w:rsidRPr="007D6282">
        <w:rPr>
          <w:rStyle w:val="FootnoteReference"/>
          <w:bCs/>
          <w:sz w:val="24"/>
          <w:szCs w:val="24"/>
          <w:lang w:val="en-GB"/>
        </w:rPr>
        <w:footnoteReference w:id="6"/>
      </w:r>
      <w:r>
        <w:t xml:space="preserve">. </w:t>
      </w:r>
    </w:p>
    <w:p w:rsidR="00AE28C2" w:rsidRPr="007D6282" w:rsidRDefault="00AE28C2" w:rsidP="00484BFA">
      <w:pPr>
        <w:spacing w:after="0" w:line="288" w:lineRule="auto"/>
        <w:rPr>
          <w:bCs/>
          <w:u w:val="single"/>
          <w:lang w:val="en-GB"/>
        </w:rPr>
      </w:pPr>
    </w:p>
    <w:p w:rsidR="006106B7" w:rsidRPr="007D6282" w:rsidRDefault="002867F1" w:rsidP="00484BFA">
      <w:pPr>
        <w:spacing w:after="0" w:line="288" w:lineRule="auto"/>
        <w:jc w:val="both"/>
        <w:rPr>
          <w:bCs/>
        </w:rPr>
      </w:pPr>
      <w:r>
        <w:t xml:space="preserve">I tråd med partnerskabsprincippet kunne RU fremme dialogen mellem lokale og regionale myndigheder i forbindelse med udviklingen af metoder til bekæmpelse af ungdomsarbejdsløshed i tæt samarbejde med arbejdsmarkedets parter og blive en platform for udveksling af idéer og strategier mellem regioner og byer. </w:t>
      </w:r>
    </w:p>
    <w:p w:rsidR="006106B7" w:rsidRPr="007D6282" w:rsidRDefault="006106B7" w:rsidP="00484BFA">
      <w:pPr>
        <w:spacing w:after="0" w:line="288" w:lineRule="auto"/>
        <w:rPr>
          <w:bCs/>
          <w:lang w:val="en-GB"/>
        </w:rPr>
      </w:pPr>
    </w:p>
    <w:p w:rsidR="00527019" w:rsidRPr="003814FB" w:rsidRDefault="006106B7" w:rsidP="00484BFA">
      <w:pPr>
        <w:spacing w:after="0" w:line="288" w:lineRule="auto"/>
        <w:jc w:val="both"/>
      </w:pPr>
      <w:r>
        <w:t xml:space="preserve">Således kunne RU følge effektivt op på Kommissionens </w:t>
      </w:r>
      <w:r>
        <w:rPr>
          <w:color w:val="000000"/>
        </w:rPr>
        <w:t>meddelelse om støtte til ungdomsbeskæftigelse: en bro til job for den næste generation</w:t>
      </w:r>
      <w:r w:rsidR="00150CCB" w:rsidRPr="007D6282">
        <w:rPr>
          <w:rStyle w:val="FootnoteReference"/>
          <w:sz w:val="24"/>
          <w:szCs w:val="24"/>
          <w:lang w:val="en-GB"/>
        </w:rPr>
        <w:footnoteReference w:id="7"/>
      </w:r>
      <w:r>
        <w:t xml:space="preserve">, og der kunne afholdes flere møder med GD EMPL og RU. </w:t>
      </w:r>
    </w:p>
    <w:p w:rsidR="00F165DD" w:rsidRPr="007D6282" w:rsidRDefault="00F165DD" w:rsidP="00484BFA">
      <w:pPr>
        <w:spacing w:after="0" w:line="288" w:lineRule="auto"/>
        <w:rPr>
          <w:bCs/>
          <w:lang w:val="en-GB"/>
        </w:rPr>
      </w:pPr>
    </w:p>
    <w:p w:rsidR="00CB78E1" w:rsidRPr="007D6282" w:rsidRDefault="00CB78E1" w:rsidP="00484BFA">
      <w:pPr>
        <w:pStyle w:val="Heading2"/>
        <w:spacing w:after="0" w:line="288" w:lineRule="auto"/>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2.3. </w:t>
      </w:r>
      <w:r>
        <w:rPr>
          <w:rFonts w:ascii="Times New Roman" w:hAnsi="Times New Roman"/>
          <w:b/>
          <w:sz w:val="24"/>
          <w:szCs w:val="24"/>
        </w:rPr>
        <w:tab/>
      </w:r>
      <w:r>
        <w:rPr>
          <w:rFonts w:ascii="Times New Roman" w:hAnsi="Times New Roman"/>
          <w:b/>
          <w:sz w:val="24"/>
          <w:szCs w:val="32"/>
        </w:rPr>
        <w:t xml:space="preserve">EU's dagsorden for færdigheder </w:t>
      </w:r>
    </w:p>
    <w:p w:rsidR="006106B7" w:rsidRPr="007D6282" w:rsidRDefault="006106B7" w:rsidP="00484BFA">
      <w:pPr>
        <w:keepNext/>
        <w:spacing w:after="0" w:line="288" w:lineRule="auto"/>
        <w:rPr>
          <w:rFonts w:eastAsiaTheme="majorEastAsia"/>
          <w:lang w:val="en-GB"/>
        </w:rPr>
      </w:pPr>
    </w:p>
    <w:p w:rsidR="006106B7" w:rsidRPr="007D6282" w:rsidRDefault="00EE2DE9" w:rsidP="00484BFA">
      <w:pPr>
        <w:spacing w:after="0" w:line="288" w:lineRule="auto"/>
        <w:jc w:val="both"/>
      </w:pPr>
      <w:r>
        <w:t>Pandemiens indvirkning på vores måde at arbejde på og den dobbelte omstilling til hhv. en digital og en grøn økonomi forandrer væsentligt kompetenceparadigmet i EU. Det er derfor meget vigtigt at fremme det lokale perspektiv på kompetencer og forbinde disse indbyrdes som beskrevet i den seneste europæiske dagsorden for færdigheder med henblik på bæredygtig konkurrenceevne, social retfærdighed og modstandsdygtighed</w:t>
      </w:r>
      <w:r w:rsidR="002867F1" w:rsidRPr="007D6282">
        <w:rPr>
          <w:rStyle w:val="FootnoteReference"/>
          <w:bCs/>
          <w:sz w:val="24"/>
          <w:szCs w:val="24"/>
          <w:lang w:val="en-GB"/>
        </w:rPr>
        <w:footnoteReference w:id="8"/>
      </w:r>
      <w:r>
        <w:t>. At arbejde på lokalt plan kan maksimere inddragelsen af lokale partnere, herunder SMV'er, samtidig med at man får en bedre forståelse af det lokale arbejdsmarkeds behov og udforsker synergier med andre lokale og regionale strategier. Endvidere kan det lokale og regionale perspektiv bidrage til at skabe kvalitative og kvantitative prognoser for bl.a. kompetencer, som så igen kan udvikles til en model eller metode for udpegelse af kvalifikationer, der forventes at blive brug for, til anvendelse i forbindelse med fremtidig planlægning og udformning af politikker.</w:t>
      </w:r>
    </w:p>
    <w:p w:rsidR="006106B7" w:rsidRPr="007D6282" w:rsidRDefault="006106B7" w:rsidP="00484BFA">
      <w:pPr>
        <w:spacing w:after="0" w:line="288" w:lineRule="auto"/>
        <w:rPr>
          <w:bCs/>
          <w:lang w:val="en-GB"/>
        </w:rPr>
      </w:pPr>
    </w:p>
    <w:p w:rsidR="00421A56" w:rsidRPr="007D6282" w:rsidRDefault="00150CCB" w:rsidP="00484BFA">
      <w:pPr>
        <w:spacing w:after="0" w:line="288" w:lineRule="auto"/>
        <w:rPr>
          <w:bCs/>
        </w:rPr>
      </w:pPr>
      <w:r>
        <w:t>Et videre samarbejde kan opnås gennem følgende tiltag:</w:t>
      </w:r>
    </w:p>
    <w:p w:rsidR="000A7400" w:rsidRPr="007D6282" w:rsidRDefault="000A7400" w:rsidP="00484BFA">
      <w:pPr>
        <w:pStyle w:val="ListParagraph"/>
        <w:spacing w:after="0" w:line="288" w:lineRule="auto"/>
        <w:ind w:left="360"/>
        <w:jc w:val="both"/>
        <w:rPr>
          <w:rStyle w:val="normaltextrun"/>
        </w:rPr>
      </w:pPr>
    </w:p>
    <w:p w:rsidR="000A7400" w:rsidRPr="007D6282" w:rsidRDefault="00151730" w:rsidP="00484BFA">
      <w:pPr>
        <w:pStyle w:val="ListParagraph"/>
        <w:numPr>
          <w:ilvl w:val="0"/>
          <w:numId w:val="32"/>
        </w:numPr>
        <w:spacing w:after="0" w:line="288" w:lineRule="auto"/>
        <w:jc w:val="both"/>
        <w:rPr>
          <w:rStyle w:val="normaltextrun"/>
        </w:rPr>
      </w:pPr>
      <w:r>
        <w:rPr>
          <w:rStyle w:val="normaltextrun"/>
        </w:rPr>
        <w:t>fremme i fællesskab af kompetencepagten som en måde, hvorpå regionerne kan etablere partnerskaber med erhvervslivet og uddannelsesinstitutioner om opkvalificering og omskoling af lokalbefolkningen</w:t>
      </w:r>
    </w:p>
    <w:p w:rsidR="000A7400" w:rsidRPr="007D6282" w:rsidRDefault="000A7400" w:rsidP="00484BFA">
      <w:pPr>
        <w:pStyle w:val="ListParagraph"/>
        <w:spacing w:after="0" w:line="288" w:lineRule="auto"/>
        <w:ind w:left="360"/>
        <w:jc w:val="both"/>
        <w:rPr>
          <w:rStyle w:val="normaltextrun"/>
        </w:rPr>
      </w:pPr>
    </w:p>
    <w:p w:rsidR="00421A56" w:rsidRPr="007D6282" w:rsidRDefault="000A7400" w:rsidP="00484BFA">
      <w:pPr>
        <w:pStyle w:val="ListParagraph"/>
        <w:numPr>
          <w:ilvl w:val="0"/>
          <w:numId w:val="32"/>
        </w:numPr>
        <w:spacing w:after="0" w:line="288" w:lineRule="auto"/>
        <w:jc w:val="both"/>
        <w:rPr>
          <w:rStyle w:val="normaltextrun"/>
        </w:rPr>
      </w:pPr>
      <w:r>
        <w:rPr>
          <w:rStyle w:val="normaltextrun"/>
        </w:rPr>
        <w:t xml:space="preserve">en konference på højt niveau om lærlingeuddannelser tilrettelagt i samarbejde med GD EMPL under overskriften "Byernes og regionernes rolle med hensyn til at skabe lærepladser af høj </w:t>
      </w:r>
      <w:r>
        <w:rPr>
          <w:rStyle w:val="normaltextrun"/>
        </w:rPr>
        <w:lastRenderedPageBreak/>
        <w:t>kvalitet". Konferencen skal på grund af covid-19 afholdes i foråret 2021 med supplerende køreplansarrangementer online op til hovedkonferencen:</w:t>
      </w:r>
    </w:p>
    <w:p w:rsidR="000A7400" w:rsidRPr="007D6282" w:rsidRDefault="000A7400" w:rsidP="00484BFA">
      <w:pPr>
        <w:spacing w:after="0" w:line="288" w:lineRule="auto"/>
        <w:rPr>
          <w:rStyle w:val="normaltextrun"/>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C72B46">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rsidP="00484BFA">
            <w:pPr>
              <w:spacing w:after="0" w:line="288" w:lineRule="auto"/>
              <w:rPr>
                <w:b/>
                <w:bCs/>
                <w:color w:val="FFFFFF"/>
              </w:rPr>
            </w:pPr>
            <w:r>
              <w:rPr>
                <w:b/>
                <w:bCs/>
                <w:color w:val="FFFFFF"/>
              </w:rPr>
              <w:t>Dato</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rsidP="00484BFA">
            <w:pPr>
              <w:spacing w:after="0" w:line="288" w:lineRule="auto"/>
              <w:rPr>
                <w:rFonts w:ascii="Calibri" w:hAnsi="Calibri" w:cs="Calibri"/>
                <w:b/>
                <w:bCs/>
                <w:color w:val="FFFFFF"/>
              </w:rPr>
            </w:pPr>
            <w:r>
              <w:rPr>
                <w:b/>
                <w:bCs/>
                <w:color w:val="FFFFFF"/>
              </w:rPr>
              <w:t>Seminarer/konferencer</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rsidP="00484BFA">
            <w:pPr>
              <w:spacing w:after="0" w:line="288" w:lineRule="auto"/>
              <w:rPr>
                <w:b/>
                <w:bCs/>
                <w:color w:val="FFFFFF"/>
              </w:rPr>
            </w:pPr>
            <w:r>
              <w:rPr>
                <w:b/>
                <w:bCs/>
                <w:color w:val="FFFFFF"/>
              </w:rPr>
              <w:t>Emne</w:t>
            </w:r>
          </w:p>
        </w:tc>
      </w:tr>
      <w:tr w:rsidR="00C72B46">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Tirsdag den 29. september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 xml:space="preserve">Første onlinewebinar: </w:t>
            </w:r>
            <w:r>
              <w:rPr>
                <w:i/>
                <w:iCs/>
              </w:rPr>
              <w:t>Konsekvenserne af covid-19 for lærlingeuddannelser. Regionernes og byernes rolle.</w:t>
            </w:r>
            <w: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Fokus på covid-19-reaktionen</w:t>
            </w:r>
          </w:p>
        </w:tc>
      </w:tr>
      <w:tr w:rsidR="00C72B46">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Januar/februar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 xml:space="preserve">Andet onlinewebinar: </w:t>
            </w:r>
            <w:r>
              <w:rPr>
                <w:i/>
                <w:iCs/>
              </w:rPr>
              <w:t>Den dobbelte omstilling: Byernes rolle med hensyn til at sikre lærlingeuddannelser af høj kvalitet.</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Fokus på den dobbelte grønne og digitale omstilling</w:t>
            </w:r>
          </w:p>
        </w:tc>
      </w:tr>
      <w:tr w:rsidR="00C72B46">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Marts/april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 xml:space="preserve">Tredje onlinewebinar: </w:t>
            </w:r>
            <w:r>
              <w:rPr>
                <w:i/>
                <w:iCs/>
              </w:rPr>
              <w:t>Den dobbelte omstilling: Regionernes rolle med hensyn til at sikre lærlingeuddannelser af høj kvalitet.</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 xml:space="preserve">Fokus på den dobbelte grønne og digitale omstilling </w:t>
            </w:r>
          </w:p>
        </w:tc>
      </w:tr>
      <w:tr w:rsidR="00C72B46">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sidP="00484BFA">
            <w:pPr>
              <w:spacing w:after="0" w:line="288" w:lineRule="auto"/>
            </w:pPr>
            <w:r>
              <w:t>3.-4. juni 2021 (skal bekræftes)</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sidP="00484BFA">
            <w:pPr>
              <w:spacing w:after="0" w:line="288" w:lineRule="auto"/>
            </w:pPr>
            <w:r>
              <w:t xml:space="preserve">Hovedkonference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sidP="00484BFA">
            <w:pPr>
              <w:spacing w:after="0" w:line="288" w:lineRule="auto"/>
            </w:pPr>
            <w:r>
              <w:t>SKAL BEKRÆFTES</w:t>
            </w:r>
          </w:p>
        </w:tc>
      </w:tr>
      <w:tr w:rsidR="00C72B46">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SKAL BEKRÆFTES</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Opfølgning på (online)møder</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84BFA">
            <w:pPr>
              <w:spacing w:after="0" w:line="288" w:lineRule="auto"/>
            </w:pPr>
            <w:r>
              <w:t>SKAL BEKRÆFTES</w:t>
            </w:r>
          </w:p>
        </w:tc>
      </w:tr>
    </w:tbl>
    <w:p w:rsidR="002D435E" w:rsidRPr="007D6282" w:rsidRDefault="002D435E" w:rsidP="00484BFA">
      <w:pPr>
        <w:pStyle w:val="ListParagraph"/>
        <w:spacing w:after="0" w:line="288" w:lineRule="auto"/>
        <w:ind w:left="360"/>
        <w:jc w:val="both"/>
        <w:rPr>
          <w:rStyle w:val="normaltextrun"/>
        </w:rPr>
      </w:pPr>
    </w:p>
    <w:p w:rsidR="002D435E" w:rsidRPr="007D6282" w:rsidRDefault="00151730" w:rsidP="00484BFA">
      <w:pPr>
        <w:pStyle w:val="ListParagraph"/>
        <w:numPr>
          <w:ilvl w:val="0"/>
          <w:numId w:val="32"/>
        </w:numPr>
        <w:spacing w:after="0" w:line="288" w:lineRule="auto"/>
        <w:jc w:val="both"/>
        <w:rPr>
          <w:rFonts w:ascii="Times New Roman" w:hAnsi="Times New Roman" w:cs="Times New Roman"/>
        </w:rPr>
      </w:pPr>
      <w:r>
        <w:t>Samarbejdet vil blive yderligere udviklet som led i forberedelsen af udtalelsen om den europæiske dagsorden for færdigheder med henblik på bæredygtig konkurrenceevne, social retfærdighed og modstandsdygtighed (ordfører: Csaba Borboly, RO/EPP)</w:t>
      </w:r>
      <w:r>
        <w:rPr>
          <w:rFonts w:ascii="Times New Roman" w:hAnsi="Times New Roman"/>
        </w:rPr>
        <w:t xml:space="preserve"> </w:t>
      </w:r>
    </w:p>
    <w:p w:rsidR="00F165DD" w:rsidRPr="007D6282" w:rsidRDefault="00F165DD" w:rsidP="00484BFA">
      <w:pPr>
        <w:pStyle w:val="ListParagraph"/>
        <w:spacing w:after="0" w:line="288" w:lineRule="auto"/>
        <w:ind w:left="360"/>
        <w:jc w:val="both"/>
      </w:pPr>
    </w:p>
    <w:p w:rsidR="00176CAE" w:rsidRPr="00605E9C" w:rsidRDefault="00151730" w:rsidP="00484BFA">
      <w:pPr>
        <w:pStyle w:val="ListParagraph"/>
        <w:numPr>
          <w:ilvl w:val="0"/>
          <w:numId w:val="32"/>
        </w:numPr>
        <w:spacing w:after="0" w:line="288" w:lineRule="auto"/>
        <w:jc w:val="both"/>
        <w:rPr>
          <w:rFonts w:asciiTheme="minorHAnsi" w:hAnsiTheme="minorHAnsi" w:cs="Times New Roman"/>
        </w:rPr>
      </w:pPr>
      <w:r w:rsidRPr="00605E9C">
        <w:rPr>
          <w:rFonts w:asciiTheme="minorHAnsi" w:hAnsiTheme="minorHAnsi"/>
        </w:rPr>
        <w:t>Samarbejde om den europæiske alliance for lærlingeuddannelser (EAfA). RU og EAfA kunne arbejde videre på en af prioriteterne for den fornyede EAfA, nemlig "mobilisering af lokale og regionale myndigheder som katalysatorer for lærlingeuddannelser inden for det lokale erhvervsmiljø". Et eksempel herpå er deltagelsen af det nye bynetværk for lærlingeuddannelser i fælles webinarer for RU og EAfA. Et af netværkets primære mål er at skabe opmærksomhed omkring byernes potentiale til at støtte lærlingeuddannelser. Endelig vil byer gennem netværket kunne lære af hinanden, samarbejde, udvikle værktøjer, udveksle god praksis samt give og modtage teknisk og politisk bistand.   </w:t>
      </w:r>
    </w:p>
    <w:p w:rsidR="00C34231" w:rsidRPr="003814FB" w:rsidRDefault="00C34231" w:rsidP="00484BFA">
      <w:pPr>
        <w:spacing w:after="0" w:line="288" w:lineRule="auto"/>
        <w:rPr>
          <w:rFonts w:eastAsiaTheme="majorEastAsia"/>
          <w:lang w:val="en-GB"/>
        </w:rPr>
      </w:pPr>
    </w:p>
    <w:p w:rsidR="003D64D4" w:rsidRPr="007D6282" w:rsidRDefault="00025C0A" w:rsidP="00484BFA">
      <w:pPr>
        <w:pStyle w:val="Heading2"/>
        <w:spacing w:after="0" w:line="288" w:lineRule="auto"/>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2.4. </w:t>
      </w:r>
      <w:r>
        <w:rPr>
          <w:rFonts w:ascii="Times New Roman" w:hAnsi="Times New Roman"/>
          <w:b/>
          <w:sz w:val="24"/>
          <w:szCs w:val="24"/>
        </w:rPr>
        <w:tab/>
      </w:r>
      <w:r>
        <w:rPr>
          <w:rFonts w:ascii="Times New Roman" w:hAnsi="Times New Roman"/>
          <w:b/>
          <w:sz w:val="24"/>
          <w:szCs w:val="32"/>
        </w:rPr>
        <w:t>Et koncept med EU-støttede lokale europæiske jobmesser til støtte for den lokale beskæftigelse</w:t>
      </w:r>
    </w:p>
    <w:p w:rsidR="00CE5349" w:rsidRPr="007D6282" w:rsidRDefault="00CE5349" w:rsidP="00484BFA">
      <w:pPr>
        <w:keepNext/>
        <w:spacing w:after="0" w:line="288" w:lineRule="auto"/>
        <w:rPr>
          <w:lang w:val="en-GB"/>
        </w:rPr>
      </w:pPr>
    </w:p>
    <w:p w:rsidR="00CC2877" w:rsidRPr="003814FB" w:rsidRDefault="00394636" w:rsidP="00484BFA">
      <w:pPr>
        <w:spacing w:after="0" w:line="288" w:lineRule="auto"/>
        <w:jc w:val="both"/>
      </w:pPr>
      <w:r>
        <w:t>For at forbedre matchningen af job og færdigheder er man blevet enig om at undersøge mulighederne for fælles afholdelse af lokale europæiske jobmesser rundt om i Europa. Thessaloniki vil muligvis melde sig frivilligt som vært for en sådan "lokal europæisk jobmesse" snarest muligt. Et sådant arrangement kan blive model for lignende arrangementer i andre EU-regioner. RU og GD</w:t>
      </w:r>
      <w:r w:rsidR="00021968">
        <w:t> </w:t>
      </w:r>
      <w:r>
        <w:t xml:space="preserve">EMPL vil samarbejde om konceptet og gennemførelsen, herunder udformning, partnere, finansiering osv., som skal aftales særskilt. </w:t>
      </w:r>
    </w:p>
    <w:p w:rsidR="00FE1A83" w:rsidRPr="003814FB" w:rsidRDefault="00FE1A83" w:rsidP="00484BFA">
      <w:pPr>
        <w:spacing w:after="0" w:line="288" w:lineRule="auto"/>
        <w:rPr>
          <w:lang w:val="en-GB"/>
        </w:rPr>
      </w:pPr>
    </w:p>
    <w:p w:rsidR="00DC5206" w:rsidRPr="007D6282" w:rsidRDefault="00455FAA" w:rsidP="00021968">
      <w:pPr>
        <w:pStyle w:val="Heading3"/>
        <w:keepNext/>
        <w:spacing w:after="0" w:line="288" w:lineRule="auto"/>
        <w:rPr>
          <w:rFonts w:asciiTheme="majorHAnsi" w:hAnsiTheme="majorHAnsi"/>
          <w:color w:val="365F91" w:themeColor="accent1" w:themeShade="BF"/>
        </w:rPr>
      </w:pPr>
      <w:r>
        <w:rPr>
          <w:rFonts w:ascii="Times New Roman" w:hAnsi="Times New Roman"/>
          <w:b/>
          <w:sz w:val="24"/>
          <w:szCs w:val="24"/>
        </w:rPr>
        <w:lastRenderedPageBreak/>
        <w:t>2.4.1.</w:t>
      </w:r>
      <w:r w:rsidR="00021968">
        <w:rPr>
          <w:rFonts w:ascii="Times New Roman" w:hAnsi="Times New Roman"/>
          <w:b/>
          <w:sz w:val="24"/>
          <w:szCs w:val="24"/>
        </w:rPr>
        <w:t xml:space="preserve"> </w:t>
      </w:r>
      <w:r>
        <w:rPr>
          <w:rFonts w:ascii="Times New Roman" w:hAnsi="Times New Roman"/>
          <w:b/>
          <w:sz w:val="24"/>
          <w:szCs w:val="24"/>
        </w:rPr>
        <w:t>Hvad der allerede findes</w:t>
      </w:r>
    </w:p>
    <w:p w:rsidR="00CC2877" w:rsidRPr="003814FB" w:rsidRDefault="00CC2877" w:rsidP="00021968">
      <w:pPr>
        <w:keepNext/>
        <w:spacing w:after="0" w:line="288" w:lineRule="auto"/>
        <w:rPr>
          <w:lang w:val="en-GB"/>
        </w:rPr>
      </w:pPr>
    </w:p>
    <w:p w:rsidR="00CC2877" w:rsidRPr="00605E9C" w:rsidRDefault="00DF7306" w:rsidP="00021968">
      <w:pPr>
        <w:pStyle w:val="ListParagraph"/>
        <w:keepNext/>
        <w:numPr>
          <w:ilvl w:val="0"/>
          <w:numId w:val="35"/>
        </w:numPr>
        <w:spacing w:after="0" w:line="288" w:lineRule="auto"/>
        <w:jc w:val="both"/>
        <w:rPr>
          <w:rFonts w:asciiTheme="minorHAnsi" w:hAnsiTheme="minorHAnsi"/>
        </w:rPr>
      </w:pPr>
      <w:r w:rsidRPr="00605E9C">
        <w:rPr>
          <w:rFonts w:asciiTheme="minorHAnsi" w:hAnsiTheme="minorHAnsi"/>
        </w:rPr>
        <w:t>Det Europæiske Arbejdsformidlingsnet (Eures) afholder allerede "europæiske jobdage" til fremme af arbejdskraftens bevægelighed i hele EU, matchning af ansøgeres færdigheder med arbejdsgivernes behov i andre medlemsstater (en gentagelse af sådanne mobilitetsarrangementer vil ikke tilføre nogen merværdi).</w:t>
      </w:r>
    </w:p>
    <w:p w:rsidR="00CC2877" w:rsidRPr="00605E9C" w:rsidRDefault="00CC2877" w:rsidP="00484BFA">
      <w:pPr>
        <w:pStyle w:val="ListParagraph"/>
        <w:spacing w:after="0" w:line="288" w:lineRule="auto"/>
        <w:ind w:left="360"/>
        <w:jc w:val="both"/>
        <w:rPr>
          <w:rFonts w:asciiTheme="minorHAnsi" w:hAnsiTheme="minorHAnsi"/>
        </w:rPr>
      </w:pPr>
    </w:p>
    <w:p w:rsidR="00CC2877" w:rsidRPr="00605E9C" w:rsidRDefault="00501E02" w:rsidP="00484BFA">
      <w:pPr>
        <w:pStyle w:val="ListParagraph"/>
        <w:numPr>
          <w:ilvl w:val="0"/>
          <w:numId w:val="35"/>
        </w:numPr>
        <w:spacing w:after="0" w:line="288" w:lineRule="auto"/>
        <w:jc w:val="both"/>
        <w:rPr>
          <w:rFonts w:asciiTheme="minorHAnsi" w:hAnsiTheme="minorHAnsi"/>
        </w:rPr>
      </w:pPr>
      <w:r w:rsidRPr="00605E9C">
        <w:rPr>
          <w:rFonts w:asciiTheme="minorHAnsi" w:hAnsiTheme="minorHAnsi"/>
        </w:rPr>
        <w:t>Adskillige EU-projekter har til formål at bekæmpe arbejdsløshed. Desuden findes der også nationale programmer med samme formål.</w:t>
      </w:r>
    </w:p>
    <w:p w:rsidR="00CC2877" w:rsidRPr="00605E9C" w:rsidRDefault="00CC2877" w:rsidP="00484BFA">
      <w:pPr>
        <w:pStyle w:val="ListParagraph"/>
        <w:spacing w:after="0" w:line="288" w:lineRule="auto"/>
        <w:ind w:left="360"/>
        <w:jc w:val="both"/>
        <w:rPr>
          <w:rFonts w:asciiTheme="minorHAnsi" w:hAnsiTheme="minorHAnsi"/>
        </w:rPr>
      </w:pPr>
    </w:p>
    <w:p w:rsidR="00CC2877" w:rsidRPr="00605E9C" w:rsidRDefault="002867F1" w:rsidP="00484BFA">
      <w:pPr>
        <w:pStyle w:val="ListParagraph"/>
        <w:numPr>
          <w:ilvl w:val="0"/>
          <w:numId w:val="35"/>
        </w:numPr>
        <w:spacing w:after="0" w:line="288" w:lineRule="auto"/>
        <w:jc w:val="both"/>
        <w:rPr>
          <w:rFonts w:asciiTheme="minorHAnsi" w:hAnsiTheme="minorHAnsi"/>
        </w:rPr>
      </w:pPr>
      <w:r w:rsidRPr="00605E9C">
        <w:rPr>
          <w:rFonts w:asciiTheme="minorHAnsi" w:hAnsiTheme="minorHAnsi"/>
        </w:rPr>
        <w:t>ESF er og ESF+ bliver det vigtigste instrument til finansiering af lokale beskæftigelsesstrategier og fremme af uddannelse, opkvalificering og omskoling.</w:t>
      </w:r>
    </w:p>
    <w:p w:rsidR="00CC2877" w:rsidRPr="00605E9C" w:rsidRDefault="00CC2877" w:rsidP="00484BFA">
      <w:pPr>
        <w:pStyle w:val="ListParagraph"/>
        <w:spacing w:after="0" w:line="288" w:lineRule="auto"/>
        <w:ind w:left="360"/>
        <w:jc w:val="both"/>
        <w:rPr>
          <w:rFonts w:asciiTheme="minorHAnsi" w:hAnsiTheme="minorHAnsi"/>
        </w:rPr>
      </w:pPr>
    </w:p>
    <w:p w:rsidR="00CC2877" w:rsidRPr="007D6282" w:rsidRDefault="00DF7306" w:rsidP="00021968">
      <w:pPr>
        <w:numPr>
          <w:ilvl w:val="0"/>
          <w:numId w:val="35"/>
        </w:numPr>
        <w:spacing w:after="0" w:line="288" w:lineRule="auto"/>
        <w:jc w:val="both"/>
        <w:rPr>
          <w:rFonts w:eastAsia="Times New Roman"/>
          <w:sz w:val="24"/>
          <w:szCs w:val="24"/>
        </w:rPr>
      </w:pPr>
      <w:r w:rsidRPr="00605E9C">
        <w:t>Programmet for beskæftigelse og social innovation" (EaSI) (2014-2020) består af tre dele (fremskridt i moderniseringen af beskæftigelse og sociale tjenester, Eures for arbejdskraftens bevægelighed samt mikrofinansiering og socialt iværksætteri, som yder mikrolån og mikrokreditter til sårbare grupper og virksomheder og støtter socialt iværksætteri). InvestEU giver samme muligheder fra og med 2021.</w:t>
      </w:r>
    </w:p>
    <w:p w:rsidR="00FE1A83" w:rsidRPr="007D6282" w:rsidRDefault="00FE1A83" w:rsidP="00484BFA">
      <w:pPr>
        <w:spacing w:after="0" w:line="288" w:lineRule="auto"/>
        <w:rPr>
          <w:lang w:val="en-GB"/>
        </w:rPr>
      </w:pPr>
    </w:p>
    <w:p w:rsidR="00CC2877" w:rsidRPr="007D6282" w:rsidRDefault="00455FAA" w:rsidP="00484BFA">
      <w:pPr>
        <w:pStyle w:val="Heading3"/>
        <w:spacing w:after="0" w:line="288" w:lineRule="auto"/>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2.4.2.</w:t>
      </w:r>
      <w:r>
        <w:rPr>
          <w:rFonts w:ascii="Times New Roman" w:hAnsi="Times New Roman"/>
          <w:b/>
          <w:sz w:val="24"/>
          <w:szCs w:val="24"/>
        </w:rPr>
        <w:tab/>
      </w:r>
      <w:r w:rsidR="00021968">
        <w:rPr>
          <w:rFonts w:ascii="Times New Roman" w:hAnsi="Times New Roman"/>
          <w:b/>
          <w:sz w:val="24"/>
          <w:szCs w:val="24"/>
        </w:rPr>
        <w:t xml:space="preserve"> </w:t>
      </w:r>
      <w:r>
        <w:rPr>
          <w:rFonts w:ascii="Times New Roman" w:hAnsi="Times New Roman"/>
          <w:b/>
          <w:sz w:val="24"/>
          <w:szCs w:val="32"/>
        </w:rPr>
        <w:t>Merværdien af lokale europæiske jobmesser</w:t>
      </w:r>
    </w:p>
    <w:p w:rsidR="00CC2877" w:rsidRPr="007D6282" w:rsidRDefault="00CC2877" w:rsidP="00484BFA">
      <w:pPr>
        <w:keepNext/>
        <w:spacing w:after="0" w:line="288" w:lineRule="auto"/>
        <w:rPr>
          <w:lang w:val="en-GB"/>
        </w:rPr>
      </w:pPr>
    </w:p>
    <w:p w:rsidR="00CC2877" w:rsidRPr="00605E9C" w:rsidRDefault="00CC2877" w:rsidP="00484BFA">
      <w:pPr>
        <w:pStyle w:val="ListParagraph"/>
        <w:spacing w:after="0" w:line="288" w:lineRule="auto"/>
        <w:ind w:left="0"/>
        <w:jc w:val="both"/>
        <w:rPr>
          <w:rFonts w:asciiTheme="minorHAnsi" w:hAnsiTheme="minorHAnsi"/>
        </w:rPr>
      </w:pPr>
      <w:r w:rsidRPr="00605E9C">
        <w:rPr>
          <w:rFonts w:asciiTheme="minorHAnsi" w:hAnsiTheme="minorHAnsi"/>
        </w:rPr>
        <w:t>I lyset af de allerede eksisterende EU-initiativer og andre initiativer ville den specifikke merværdi af en lokal europæisk jobmesse bestå i:</w:t>
      </w:r>
    </w:p>
    <w:p w:rsidR="00100433" w:rsidRPr="00605E9C" w:rsidRDefault="00100433" w:rsidP="00484BFA">
      <w:pPr>
        <w:pStyle w:val="ListParagraph"/>
        <w:spacing w:after="0" w:line="288" w:lineRule="auto"/>
        <w:ind w:left="0"/>
        <w:jc w:val="both"/>
        <w:rPr>
          <w:rFonts w:asciiTheme="minorHAnsi" w:hAnsiTheme="minorHAnsi"/>
        </w:rPr>
      </w:pPr>
    </w:p>
    <w:p w:rsidR="00100433" w:rsidRPr="00605E9C" w:rsidRDefault="00100433" w:rsidP="00484BFA">
      <w:pPr>
        <w:pStyle w:val="ListParagraph"/>
        <w:numPr>
          <w:ilvl w:val="0"/>
          <w:numId w:val="35"/>
        </w:numPr>
        <w:spacing w:after="0" w:line="288" w:lineRule="auto"/>
        <w:jc w:val="both"/>
        <w:rPr>
          <w:rFonts w:asciiTheme="minorHAnsi" w:hAnsiTheme="minorHAnsi"/>
        </w:rPr>
      </w:pPr>
      <w:r w:rsidRPr="00605E9C">
        <w:rPr>
          <w:rFonts w:asciiTheme="minorHAnsi" w:hAnsiTheme="minorHAnsi"/>
        </w:rPr>
        <w:t>at give eksempler på eksisterende EU-tjenester for jobsøgende på lokalt, nationalt og europæisk plan</w:t>
      </w:r>
    </w:p>
    <w:p w:rsidR="0002399B" w:rsidRPr="00605E9C" w:rsidRDefault="0002399B" w:rsidP="00484BFA">
      <w:pPr>
        <w:pStyle w:val="ListParagraph"/>
        <w:numPr>
          <w:ilvl w:val="0"/>
          <w:numId w:val="35"/>
        </w:numPr>
        <w:spacing w:after="0" w:line="288" w:lineRule="auto"/>
        <w:jc w:val="both"/>
        <w:rPr>
          <w:rFonts w:asciiTheme="minorHAnsi" w:hAnsiTheme="minorHAnsi"/>
        </w:rPr>
      </w:pPr>
      <w:r w:rsidRPr="00605E9C">
        <w:rPr>
          <w:rFonts w:asciiTheme="minorHAnsi" w:hAnsiTheme="minorHAnsi"/>
        </w:rPr>
        <w:t>at præsentere nye tendenser inden for færdigheder og beskæftigelse på lokalt og europæisk plan</w:t>
      </w:r>
    </w:p>
    <w:p w:rsidR="00100433" w:rsidRPr="00605E9C" w:rsidRDefault="00100433" w:rsidP="00484BFA">
      <w:pPr>
        <w:pStyle w:val="ListParagraph"/>
        <w:numPr>
          <w:ilvl w:val="0"/>
          <w:numId w:val="35"/>
        </w:numPr>
        <w:spacing w:after="0" w:line="288" w:lineRule="auto"/>
        <w:jc w:val="both"/>
        <w:rPr>
          <w:rFonts w:asciiTheme="minorHAnsi" w:hAnsiTheme="minorHAnsi"/>
        </w:rPr>
      </w:pPr>
      <w:r w:rsidRPr="00605E9C">
        <w:rPr>
          <w:rFonts w:asciiTheme="minorHAnsi" w:hAnsiTheme="minorHAnsi"/>
        </w:rPr>
        <w:t>at præsentere EU-programmer for støtte til lokale og regionale beskæftigelsesstrategier med henblik på den løbende planlægning af fremtidige ESF-programmer</w:t>
      </w:r>
    </w:p>
    <w:p w:rsidR="00100433" w:rsidRPr="00605E9C" w:rsidRDefault="00100433" w:rsidP="00484BFA">
      <w:pPr>
        <w:pStyle w:val="ListParagraph"/>
        <w:numPr>
          <w:ilvl w:val="0"/>
          <w:numId w:val="35"/>
        </w:numPr>
        <w:spacing w:after="0" w:line="288" w:lineRule="auto"/>
        <w:jc w:val="both"/>
        <w:rPr>
          <w:rFonts w:asciiTheme="minorHAnsi" w:hAnsiTheme="minorHAnsi"/>
        </w:rPr>
      </w:pPr>
      <w:r w:rsidRPr="00605E9C">
        <w:rPr>
          <w:rFonts w:asciiTheme="minorHAnsi" w:hAnsiTheme="minorHAnsi"/>
        </w:rPr>
        <w:t xml:space="preserve">at vise sammenhængen mellem forskellige EU-politikker og -programmer set ud fra de unges perspektiv </w:t>
      </w:r>
    </w:p>
    <w:p w:rsidR="00C97045" w:rsidRPr="00605E9C" w:rsidRDefault="00100433" w:rsidP="00484BFA">
      <w:pPr>
        <w:pStyle w:val="ListParagraph"/>
        <w:numPr>
          <w:ilvl w:val="0"/>
          <w:numId w:val="35"/>
        </w:numPr>
        <w:spacing w:after="0" w:line="288" w:lineRule="auto"/>
        <w:jc w:val="both"/>
        <w:rPr>
          <w:rFonts w:asciiTheme="minorHAnsi" w:hAnsiTheme="minorHAnsi"/>
        </w:rPr>
      </w:pPr>
      <w:r w:rsidRPr="00605E9C">
        <w:rPr>
          <w:rFonts w:asciiTheme="minorHAnsi" w:hAnsiTheme="minorHAnsi"/>
        </w:rPr>
        <w:t>at danne grundlaget for en dialog med borgerne om EU's sociale dimension, og hvad denne indebærer for den lokale og regionale beskæftigelse, og</w:t>
      </w:r>
    </w:p>
    <w:p w:rsidR="00100433" w:rsidRPr="007D6282" w:rsidRDefault="00C97045" w:rsidP="00484BFA">
      <w:pPr>
        <w:pStyle w:val="ListParagraph"/>
        <w:numPr>
          <w:ilvl w:val="0"/>
          <w:numId w:val="35"/>
        </w:numPr>
        <w:spacing w:after="0" w:line="288" w:lineRule="auto"/>
        <w:jc w:val="both"/>
      </w:pPr>
      <w:r w:rsidRPr="00605E9C">
        <w:rPr>
          <w:rFonts w:asciiTheme="minorHAnsi" w:hAnsiTheme="minorHAnsi"/>
        </w:rPr>
        <w:t>at støtte matchningen af job og færdigheder lokalt med hjælp fra EU-midler til sådanne lokale arrangementer.</w:t>
      </w:r>
    </w:p>
    <w:p w:rsidR="00FE1A83" w:rsidRPr="003814FB" w:rsidRDefault="00FE1A83" w:rsidP="00484BFA">
      <w:pPr>
        <w:spacing w:after="0" w:line="288" w:lineRule="auto"/>
        <w:rPr>
          <w:lang w:val="en-GB"/>
        </w:rPr>
      </w:pPr>
    </w:p>
    <w:p w:rsidR="00F165DD" w:rsidRPr="003814FB" w:rsidRDefault="001A2D75" w:rsidP="00021968">
      <w:pPr>
        <w:spacing w:after="0" w:line="288" w:lineRule="auto"/>
        <w:jc w:val="both"/>
      </w:pPr>
      <w:r>
        <w:t>Det er på nuværende tidspunkt vigtigt at arrangere denne form for messer som led i indsatsen for genopretning efter covid-19-pandemien. Det er derfor afgørende at indlede en politisk dialog med ledende repræsentanter for arbejdsmarkedets parter, værtsmedlemmerne fra RU og EU-repræsentanter om koncepter og strategier til imødegåelse af de aktuelle beskæftigelsesmæssige udfordringer.</w:t>
      </w:r>
    </w:p>
    <w:p w:rsidR="00FE1A83" w:rsidRPr="003814FB" w:rsidRDefault="00FE1A83" w:rsidP="00484BFA">
      <w:pPr>
        <w:spacing w:after="0" w:line="288" w:lineRule="auto"/>
        <w:rPr>
          <w:lang w:val="en-GB"/>
        </w:rPr>
      </w:pPr>
    </w:p>
    <w:p w:rsidR="00100433" w:rsidRPr="007D6282" w:rsidRDefault="00455FAA" w:rsidP="00021968">
      <w:pPr>
        <w:pStyle w:val="Heading3"/>
        <w:keepNext/>
        <w:spacing w:after="0" w:line="288" w:lineRule="auto"/>
        <w:ind w:left="709" w:hanging="709"/>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lastRenderedPageBreak/>
        <w:t>2.4.3.</w:t>
      </w:r>
      <w:r>
        <w:rPr>
          <w:rFonts w:ascii="Times New Roman" w:hAnsi="Times New Roman"/>
          <w:b/>
          <w:sz w:val="24"/>
          <w:szCs w:val="24"/>
        </w:rPr>
        <w:tab/>
      </w:r>
      <w:r>
        <w:rPr>
          <w:rFonts w:ascii="Times New Roman" w:hAnsi="Times New Roman"/>
          <w:b/>
          <w:sz w:val="24"/>
          <w:szCs w:val="32"/>
        </w:rPr>
        <w:t>Målgruppen for lokale europæiske jobmesser</w:t>
      </w:r>
    </w:p>
    <w:p w:rsidR="0002399B" w:rsidRPr="007D6282" w:rsidRDefault="0002399B" w:rsidP="00021968">
      <w:pPr>
        <w:keepNext/>
        <w:spacing w:after="0" w:line="288" w:lineRule="auto"/>
        <w:rPr>
          <w:lang w:val="en-GB"/>
        </w:rPr>
      </w:pPr>
    </w:p>
    <w:p w:rsidR="0002399B" w:rsidRPr="007D6282" w:rsidRDefault="0002399B" w:rsidP="00021968">
      <w:pPr>
        <w:keepNext/>
        <w:spacing w:after="0" w:line="288" w:lineRule="auto"/>
      </w:pPr>
      <w:r>
        <w:t>Målgruppen for lokale europæiske jobmesser kunne omfatte:</w:t>
      </w:r>
    </w:p>
    <w:p w:rsidR="0002399B" w:rsidRPr="007D6282" w:rsidRDefault="0002399B" w:rsidP="00021968">
      <w:pPr>
        <w:keepNext/>
        <w:spacing w:after="0" w:line="288" w:lineRule="auto"/>
        <w:rPr>
          <w:lang w:val="en-GB"/>
        </w:rPr>
      </w:pPr>
    </w:p>
    <w:p w:rsidR="0002399B" w:rsidRPr="00605E9C" w:rsidRDefault="0002399B" w:rsidP="00484BFA">
      <w:pPr>
        <w:pStyle w:val="ListParagraph"/>
        <w:numPr>
          <w:ilvl w:val="0"/>
          <w:numId w:val="33"/>
        </w:numPr>
        <w:spacing w:after="0" w:line="288" w:lineRule="auto"/>
        <w:ind w:left="360"/>
        <w:rPr>
          <w:rFonts w:asciiTheme="minorHAnsi" w:hAnsiTheme="minorHAnsi"/>
        </w:rPr>
      </w:pPr>
      <w:r w:rsidRPr="00605E9C">
        <w:rPr>
          <w:rFonts w:asciiTheme="minorHAnsi" w:hAnsiTheme="minorHAnsi"/>
        </w:rPr>
        <w:t>jobsøgende, navnlig studerende og nyligt færdiguddannede</w:t>
      </w:r>
    </w:p>
    <w:p w:rsidR="0002399B" w:rsidRPr="00605E9C" w:rsidRDefault="0002399B" w:rsidP="00484BFA">
      <w:pPr>
        <w:pStyle w:val="ListParagraph"/>
        <w:numPr>
          <w:ilvl w:val="0"/>
          <w:numId w:val="33"/>
        </w:numPr>
        <w:spacing w:after="0" w:line="288" w:lineRule="auto"/>
        <w:ind w:left="360"/>
        <w:rPr>
          <w:rFonts w:asciiTheme="minorHAnsi" w:hAnsiTheme="minorHAnsi"/>
        </w:rPr>
      </w:pPr>
      <w:r w:rsidRPr="00605E9C">
        <w:rPr>
          <w:rFonts w:asciiTheme="minorHAnsi" w:hAnsiTheme="minorHAnsi"/>
        </w:rPr>
        <w:t>offentlige lokale/regionale arbejdsformidlinger</w:t>
      </w:r>
    </w:p>
    <w:p w:rsidR="0002399B" w:rsidRPr="00605E9C" w:rsidRDefault="0002399B" w:rsidP="00484BFA">
      <w:pPr>
        <w:pStyle w:val="ListParagraph"/>
        <w:numPr>
          <w:ilvl w:val="0"/>
          <w:numId w:val="33"/>
        </w:numPr>
        <w:spacing w:after="0" w:line="288" w:lineRule="auto"/>
        <w:ind w:left="360"/>
        <w:rPr>
          <w:rFonts w:asciiTheme="minorHAnsi" w:hAnsiTheme="minorHAnsi"/>
        </w:rPr>
      </w:pPr>
      <w:r w:rsidRPr="00605E9C">
        <w:rPr>
          <w:rFonts w:asciiTheme="minorHAnsi" w:hAnsiTheme="minorHAnsi"/>
        </w:rPr>
        <w:t>videreuddannelses- og omskolingsinstitutioner samt arbejdsformidlinger</w:t>
      </w:r>
    </w:p>
    <w:p w:rsidR="0002399B" w:rsidRPr="00605E9C" w:rsidRDefault="0002399B" w:rsidP="00484BFA">
      <w:pPr>
        <w:pStyle w:val="ListParagraph"/>
        <w:numPr>
          <w:ilvl w:val="0"/>
          <w:numId w:val="33"/>
        </w:numPr>
        <w:spacing w:after="0" w:line="288" w:lineRule="auto"/>
        <w:ind w:left="360"/>
        <w:rPr>
          <w:rFonts w:asciiTheme="minorHAnsi" w:hAnsiTheme="minorHAnsi"/>
        </w:rPr>
      </w:pPr>
      <w:r w:rsidRPr="00605E9C">
        <w:rPr>
          <w:rFonts w:asciiTheme="minorHAnsi" w:hAnsiTheme="minorHAnsi"/>
        </w:rPr>
        <w:t>arbejdsmarkedets parter, uddannelsesinstitutioner</w:t>
      </w:r>
    </w:p>
    <w:p w:rsidR="0002399B" w:rsidRPr="00605E9C" w:rsidRDefault="0002399B" w:rsidP="00484BFA">
      <w:pPr>
        <w:pStyle w:val="ListParagraph"/>
        <w:numPr>
          <w:ilvl w:val="0"/>
          <w:numId w:val="33"/>
        </w:numPr>
        <w:spacing w:after="0" w:line="288" w:lineRule="auto"/>
        <w:ind w:left="360"/>
        <w:rPr>
          <w:rFonts w:asciiTheme="minorHAnsi" w:hAnsiTheme="minorHAnsi"/>
        </w:rPr>
      </w:pPr>
      <w:r w:rsidRPr="00605E9C">
        <w:rPr>
          <w:rFonts w:asciiTheme="minorHAnsi" w:hAnsiTheme="minorHAnsi"/>
        </w:rPr>
        <w:t>lokale/regionale myndigheder og politikere samt</w:t>
      </w:r>
    </w:p>
    <w:p w:rsidR="0002399B" w:rsidRPr="007D6282" w:rsidRDefault="0002399B" w:rsidP="00484BFA">
      <w:pPr>
        <w:pStyle w:val="ListParagraph"/>
        <w:numPr>
          <w:ilvl w:val="0"/>
          <w:numId w:val="33"/>
        </w:numPr>
        <w:spacing w:after="0" w:line="288" w:lineRule="auto"/>
        <w:ind w:left="360"/>
      </w:pPr>
      <w:r w:rsidRPr="00605E9C">
        <w:rPr>
          <w:rFonts w:asciiTheme="minorHAnsi" w:hAnsiTheme="minorHAnsi"/>
        </w:rPr>
        <w:t>lokale/regionale medier.</w:t>
      </w:r>
    </w:p>
    <w:p w:rsidR="00FE1A83" w:rsidRPr="007D6282" w:rsidRDefault="00FE1A83" w:rsidP="00484BFA">
      <w:pPr>
        <w:spacing w:after="0" w:line="288" w:lineRule="auto"/>
        <w:rPr>
          <w:lang w:val="en-GB"/>
        </w:rPr>
      </w:pPr>
    </w:p>
    <w:p w:rsidR="0002399B" w:rsidRPr="007D6282" w:rsidRDefault="00455FAA" w:rsidP="00484BFA">
      <w:pPr>
        <w:pStyle w:val="Heading3"/>
        <w:tabs>
          <w:tab w:val="left" w:pos="567"/>
        </w:tabs>
        <w:spacing w:after="0" w:line="288" w:lineRule="auto"/>
        <w:rPr>
          <w:rFonts w:asciiTheme="majorHAnsi" w:hAnsiTheme="majorHAnsi"/>
          <w:color w:val="365F91" w:themeColor="accent1" w:themeShade="BF"/>
        </w:rPr>
      </w:pPr>
      <w:r>
        <w:rPr>
          <w:rFonts w:ascii="Times New Roman" w:hAnsi="Times New Roman"/>
          <w:b/>
          <w:sz w:val="24"/>
          <w:szCs w:val="24"/>
        </w:rPr>
        <w:t>2.4.4.</w:t>
      </w:r>
      <w:r>
        <w:rPr>
          <w:rFonts w:ascii="Times New Roman" w:hAnsi="Times New Roman"/>
          <w:b/>
          <w:sz w:val="24"/>
          <w:szCs w:val="24"/>
        </w:rPr>
        <w:tab/>
      </w:r>
      <w:r w:rsidR="00021968">
        <w:rPr>
          <w:rFonts w:ascii="Times New Roman" w:hAnsi="Times New Roman"/>
          <w:b/>
          <w:sz w:val="24"/>
          <w:szCs w:val="24"/>
        </w:rPr>
        <w:t xml:space="preserve">  </w:t>
      </w:r>
      <w:r>
        <w:rPr>
          <w:rFonts w:ascii="Times New Roman" w:hAnsi="Times New Roman"/>
          <w:b/>
          <w:sz w:val="24"/>
          <w:szCs w:val="24"/>
        </w:rPr>
        <w:t>Mulige partnere og gennemførelse</w:t>
      </w:r>
    </w:p>
    <w:p w:rsidR="0002399B" w:rsidRPr="007D6282" w:rsidRDefault="0002399B" w:rsidP="00484BFA">
      <w:pPr>
        <w:keepNext/>
        <w:spacing w:after="0" w:line="288" w:lineRule="auto"/>
        <w:rPr>
          <w:lang w:val="en-GB"/>
        </w:rPr>
      </w:pPr>
    </w:p>
    <w:p w:rsidR="0002399B" w:rsidRPr="007D6282" w:rsidRDefault="00E0617C" w:rsidP="00021968">
      <w:pPr>
        <w:spacing w:after="0" w:line="288" w:lineRule="auto"/>
        <w:jc w:val="both"/>
      </w:pPr>
      <w:r>
        <w:t>En lokal europæisk jobmesse har størst chance for at blive vellykket, når de rigtige partnere inddrages helt fra starten for at sikre meningsfuld input. Følgende partnere kunne inddrages:</w:t>
      </w:r>
    </w:p>
    <w:p w:rsidR="0002399B" w:rsidRPr="00605E9C" w:rsidRDefault="0002399B" w:rsidP="00484BFA">
      <w:pPr>
        <w:spacing w:after="0" w:line="288" w:lineRule="auto"/>
        <w:rPr>
          <w:lang w:val="en-GB"/>
        </w:rPr>
      </w:pPr>
    </w:p>
    <w:p w:rsidR="0002399B" w:rsidRPr="00605E9C" w:rsidRDefault="00E0617C" w:rsidP="00484BFA">
      <w:pPr>
        <w:pStyle w:val="ListParagraph"/>
        <w:numPr>
          <w:ilvl w:val="0"/>
          <w:numId w:val="40"/>
        </w:numPr>
        <w:spacing w:after="0" w:line="288" w:lineRule="auto"/>
        <w:jc w:val="both"/>
        <w:rPr>
          <w:rFonts w:asciiTheme="minorHAnsi" w:hAnsiTheme="minorHAnsi"/>
        </w:rPr>
      </w:pPr>
      <w:r w:rsidRPr="00605E9C">
        <w:rPr>
          <w:rFonts w:asciiTheme="minorHAnsi" w:hAnsiTheme="minorHAnsi"/>
          <w:u w:val="single"/>
        </w:rPr>
        <w:t>På lokalt plan</w:t>
      </w:r>
      <w:r w:rsidRPr="00605E9C">
        <w:rPr>
          <w:rFonts w:asciiTheme="minorHAnsi" w:hAnsiTheme="minorHAnsi"/>
        </w:rPr>
        <w:t>: offentlige myndigheder, handelskamre og erhvervsorganisationer, fagforeninger, civilsamfundsorganisationer, skoler, universiteter osv.</w:t>
      </w:r>
    </w:p>
    <w:p w:rsidR="0002399B" w:rsidRPr="00605E9C" w:rsidRDefault="00E0617C" w:rsidP="00484BFA">
      <w:pPr>
        <w:pStyle w:val="ListParagraph"/>
        <w:numPr>
          <w:ilvl w:val="0"/>
          <w:numId w:val="40"/>
        </w:numPr>
        <w:spacing w:after="0" w:line="288" w:lineRule="auto"/>
        <w:jc w:val="both"/>
        <w:rPr>
          <w:rFonts w:asciiTheme="minorHAnsi" w:hAnsiTheme="minorHAnsi"/>
        </w:rPr>
      </w:pPr>
      <w:r w:rsidRPr="00605E9C">
        <w:rPr>
          <w:rFonts w:asciiTheme="minorHAnsi" w:hAnsiTheme="minorHAnsi"/>
          <w:u w:val="single"/>
        </w:rPr>
        <w:t>På regionalt plan</w:t>
      </w:r>
      <w:r w:rsidRPr="00605E9C">
        <w:rPr>
          <w:rFonts w:asciiTheme="minorHAnsi" w:hAnsiTheme="minorHAnsi"/>
        </w:rPr>
        <w:t>: ESF-forvaltningsmyndigheden, arbejdsformidlinger, regionale ministerier, regionale erhvervsorganisationer, universiteter osv.</w:t>
      </w:r>
    </w:p>
    <w:p w:rsidR="0002399B" w:rsidRPr="00605E9C" w:rsidRDefault="00E0617C" w:rsidP="00484BFA">
      <w:pPr>
        <w:pStyle w:val="ListParagraph"/>
        <w:numPr>
          <w:ilvl w:val="0"/>
          <w:numId w:val="40"/>
        </w:numPr>
        <w:spacing w:after="0" w:line="288" w:lineRule="auto"/>
        <w:jc w:val="both"/>
        <w:rPr>
          <w:rFonts w:asciiTheme="minorHAnsi" w:hAnsiTheme="minorHAnsi"/>
        </w:rPr>
      </w:pPr>
      <w:r w:rsidRPr="00605E9C">
        <w:rPr>
          <w:rFonts w:asciiTheme="minorHAnsi" w:hAnsiTheme="minorHAnsi"/>
          <w:u w:val="single"/>
        </w:rPr>
        <w:t>På nationalt plan</w:t>
      </w:r>
      <w:r w:rsidRPr="00605E9C">
        <w:rPr>
          <w:rFonts w:asciiTheme="minorHAnsi" w:hAnsiTheme="minorHAnsi"/>
        </w:rPr>
        <w:t>: nationale ministerier, organisationer inden for den sociale sektor, erhvervsorganisationer, uddannelses- og universitetssammenslutninger osv.</w:t>
      </w:r>
    </w:p>
    <w:p w:rsidR="00256F0C" w:rsidRPr="007D6282" w:rsidRDefault="00E0617C" w:rsidP="00484BFA">
      <w:pPr>
        <w:pStyle w:val="ListParagraph"/>
        <w:numPr>
          <w:ilvl w:val="0"/>
          <w:numId w:val="40"/>
        </w:numPr>
        <w:spacing w:after="0" w:line="288" w:lineRule="auto"/>
        <w:jc w:val="both"/>
      </w:pPr>
      <w:r w:rsidRPr="00605E9C">
        <w:rPr>
          <w:rFonts w:asciiTheme="minorHAnsi" w:hAnsiTheme="minorHAnsi"/>
          <w:u w:val="single"/>
        </w:rPr>
        <w:t>På europæisk plan</w:t>
      </w:r>
      <w:r w:rsidRPr="00605E9C">
        <w:rPr>
          <w:rFonts w:asciiTheme="minorHAnsi" w:hAnsiTheme="minorHAnsi"/>
        </w:rPr>
        <w:t xml:space="preserve">: Kommissionen (under ledelse af GD EMPL, </w:t>
      </w:r>
      <w:r w:rsidRPr="00605E9C">
        <w:rPr>
          <w:rFonts w:asciiTheme="minorHAnsi" w:hAnsiTheme="minorHAnsi"/>
          <w:i/>
        </w:rPr>
        <w:t xml:space="preserve">andre generaldirektorater og tjenestegrene, som kunne inviteres: </w:t>
      </w:r>
      <w:r w:rsidRPr="00605E9C">
        <w:rPr>
          <w:rFonts w:asciiTheme="minorHAnsi" w:hAnsiTheme="minorHAnsi"/>
        </w:rPr>
        <w:t>GD EAC, GD REGIO, GD REFORM, JRC), EU-agenturer (ELA, CEDEFOP, EUROFOUND), RU-medlemmer, EP-medlemmer, arbejdsmarkedets parter.</w:t>
      </w:r>
    </w:p>
    <w:p w:rsidR="00FE1A83" w:rsidRPr="003814FB" w:rsidRDefault="00FE1A83" w:rsidP="00484BFA">
      <w:pPr>
        <w:spacing w:after="0" w:line="288" w:lineRule="auto"/>
        <w:rPr>
          <w:lang w:val="en-GB"/>
        </w:rPr>
      </w:pPr>
    </w:p>
    <w:p w:rsidR="00834904" w:rsidRPr="003814FB" w:rsidRDefault="00834904" w:rsidP="00021968">
      <w:pPr>
        <w:spacing w:after="0" w:line="288" w:lineRule="auto"/>
        <w:jc w:val="both"/>
      </w:pPr>
      <w:r>
        <w:t xml:space="preserve">Eftersom den igangværende covid-19-pandemi på nuværende tidspunkt gør det umuligt at afholde fysiske messer, kunne man overveje at organisere arrangementer som </w:t>
      </w:r>
      <w:hyperlink r:id="rId14" w:history="1">
        <w:r>
          <w:t>europæiske online-jobdage</w:t>
        </w:r>
      </w:hyperlink>
      <w:r>
        <w:t xml:space="preserve"> efter aftale med og med inddragelse af de respektive nationale Eures-koordineringskontorer.</w:t>
      </w:r>
    </w:p>
    <w:p w:rsidR="003E0FE7" w:rsidRPr="003814FB" w:rsidRDefault="003E0FE7" w:rsidP="00484BFA">
      <w:pPr>
        <w:spacing w:after="0" w:line="288" w:lineRule="auto"/>
        <w:rPr>
          <w:lang w:val="en-GB"/>
        </w:rPr>
      </w:pPr>
    </w:p>
    <w:p w:rsidR="00E6624D" w:rsidRPr="003814FB" w:rsidRDefault="00E6624D" w:rsidP="00484BFA">
      <w:pPr>
        <w:spacing w:after="0" w:line="288" w:lineRule="auto"/>
      </w:pPr>
      <w:r>
        <w:t>Roller og ansvarsområder for arrangører og partnere fastlægges i særskilte aftaler.</w:t>
      </w:r>
    </w:p>
    <w:p w:rsidR="00F165DD" w:rsidRPr="007D6282" w:rsidRDefault="00F165DD" w:rsidP="00484BFA">
      <w:pPr>
        <w:spacing w:after="0" w:line="288" w:lineRule="auto"/>
        <w:rPr>
          <w:sz w:val="24"/>
          <w:lang w:val="en-GB"/>
        </w:rPr>
      </w:pPr>
    </w:p>
    <w:p w:rsidR="001A2D75" w:rsidRPr="007D6282" w:rsidRDefault="001A2D75" w:rsidP="00484BFA">
      <w:pPr>
        <w:pStyle w:val="ListParagraph"/>
        <w:keepNext/>
        <w:numPr>
          <w:ilvl w:val="2"/>
          <w:numId w:val="22"/>
        </w:numPr>
        <w:spacing w:after="0" w:line="288" w:lineRule="auto"/>
        <w:rPr>
          <w:b/>
          <w:sz w:val="24"/>
        </w:rPr>
      </w:pPr>
      <w:r>
        <w:rPr>
          <w:rFonts w:ascii="Times New Roman" w:hAnsi="Times New Roman"/>
          <w:b/>
          <w:sz w:val="24"/>
        </w:rPr>
        <w:t>Finansiering og anden støtte</w:t>
      </w:r>
    </w:p>
    <w:p w:rsidR="001A2D75" w:rsidRPr="003814FB" w:rsidRDefault="001A2D75" w:rsidP="00484BFA">
      <w:pPr>
        <w:keepNext/>
        <w:spacing w:after="0" w:line="288" w:lineRule="auto"/>
        <w:rPr>
          <w:lang w:val="en-GB"/>
        </w:rPr>
      </w:pPr>
    </w:p>
    <w:p w:rsidR="006C7232" w:rsidRPr="007D6282" w:rsidRDefault="001A2D75" w:rsidP="00484BFA">
      <w:pPr>
        <w:spacing w:after="0" w:line="288" w:lineRule="auto"/>
      </w:pPr>
      <w:r>
        <w:t>Lokale europæiske jobmesser med RU-medlemmer som værter kunne støttes med EU-finansiering. Regionsudvalget og GD EMPL vil i fællesskab undersøge passende alternativer til finansiel støtte til disse arrangementer.</w:t>
      </w:r>
    </w:p>
    <w:p w:rsidR="001A2D75" w:rsidRPr="007D6282" w:rsidRDefault="001A2D75" w:rsidP="00484BFA">
      <w:pPr>
        <w:spacing w:after="0" w:line="288" w:lineRule="auto"/>
        <w:rPr>
          <w:lang w:val="en-GB"/>
        </w:rPr>
      </w:pPr>
    </w:p>
    <w:p w:rsidR="001A2D75" w:rsidRPr="007D6282" w:rsidRDefault="008D4711" w:rsidP="00484BFA">
      <w:pPr>
        <w:spacing w:after="0" w:line="288" w:lineRule="auto"/>
      </w:pPr>
      <w:r>
        <w:t>Anden støtte kunne omfatte:</w:t>
      </w:r>
    </w:p>
    <w:p w:rsidR="001A2D75" w:rsidRPr="007D6282" w:rsidRDefault="001A2D75" w:rsidP="00484BFA">
      <w:pPr>
        <w:spacing w:after="0" w:line="288" w:lineRule="auto"/>
        <w:rPr>
          <w:lang w:val="en-GB"/>
        </w:rPr>
      </w:pPr>
    </w:p>
    <w:p w:rsidR="001A2D75" w:rsidRPr="00605E9C" w:rsidRDefault="001A2D75" w:rsidP="00484BFA">
      <w:pPr>
        <w:pStyle w:val="ListParagraph"/>
        <w:numPr>
          <w:ilvl w:val="0"/>
          <w:numId w:val="41"/>
        </w:numPr>
        <w:spacing w:after="0" w:line="288" w:lineRule="auto"/>
        <w:jc w:val="both"/>
        <w:rPr>
          <w:rFonts w:asciiTheme="minorHAnsi" w:hAnsiTheme="minorHAnsi"/>
        </w:rPr>
      </w:pPr>
      <w:r w:rsidRPr="00605E9C">
        <w:rPr>
          <w:rFonts w:asciiTheme="minorHAnsi" w:hAnsiTheme="minorHAnsi"/>
        </w:rPr>
        <w:t>tilsagn fra EU-partnere om aktiv deltagelse i messerne (gennem eksperter og repræsentanter)</w:t>
      </w:r>
    </w:p>
    <w:p w:rsidR="001A2D75" w:rsidRPr="00605E9C" w:rsidRDefault="001A2D75" w:rsidP="00484BFA">
      <w:pPr>
        <w:pStyle w:val="ListParagraph"/>
        <w:numPr>
          <w:ilvl w:val="0"/>
          <w:numId w:val="41"/>
        </w:numPr>
        <w:spacing w:after="0" w:line="288" w:lineRule="auto"/>
        <w:jc w:val="both"/>
        <w:rPr>
          <w:rFonts w:asciiTheme="minorHAnsi" w:hAnsiTheme="minorHAnsi"/>
        </w:rPr>
      </w:pPr>
      <w:r w:rsidRPr="00605E9C">
        <w:rPr>
          <w:rFonts w:asciiTheme="minorHAnsi" w:hAnsiTheme="minorHAnsi"/>
        </w:rPr>
        <w:t>tilsagn fra EU-partnere om at udarbejde egnet informationsmateriale til det pågældende arrangement</w:t>
      </w:r>
    </w:p>
    <w:p w:rsidR="001A2D75" w:rsidRPr="007D6282" w:rsidRDefault="001A2D75" w:rsidP="00484BFA">
      <w:pPr>
        <w:pStyle w:val="ListParagraph"/>
        <w:numPr>
          <w:ilvl w:val="0"/>
          <w:numId w:val="41"/>
        </w:numPr>
        <w:spacing w:after="0" w:line="288" w:lineRule="auto"/>
        <w:jc w:val="both"/>
      </w:pPr>
      <w:r w:rsidRPr="00605E9C">
        <w:rPr>
          <w:rFonts w:asciiTheme="minorHAnsi" w:hAnsiTheme="minorHAnsi"/>
        </w:rPr>
        <w:lastRenderedPageBreak/>
        <w:t>tilsagn, når det kan lade sig gøre, fra en repræsentant på højt niveau, f.eks. kommissæren eller en højtstående leder i GD EMPL, om at deltage i messen.</w:t>
      </w:r>
    </w:p>
    <w:p w:rsidR="007A1EBE" w:rsidRPr="007D6282" w:rsidRDefault="007A1EBE" w:rsidP="00484BFA">
      <w:pPr>
        <w:spacing w:after="0" w:line="288" w:lineRule="auto"/>
        <w:rPr>
          <w:lang w:val="en-GB"/>
        </w:rPr>
      </w:pPr>
    </w:p>
    <w:p w:rsidR="00E01D16" w:rsidRPr="007D6282" w:rsidRDefault="008C4469" w:rsidP="00484BFA">
      <w:pPr>
        <w:pStyle w:val="Heading1"/>
        <w:spacing w:before="0" w:after="0" w:line="288" w:lineRule="auto"/>
        <w:ind w:left="567" w:hanging="567"/>
        <w:rPr>
          <w:b/>
          <w:sz w:val="24"/>
        </w:rPr>
      </w:pPr>
      <w:r>
        <w:rPr>
          <w:rFonts w:ascii="Times New Roman" w:hAnsi="Times New Roman"/>
          <w:b/>
          <w:color w:val="auto"/>
          <w:sz w:val="24"/>
          <w:szCs w:val="24"/>
        </w:rPr>
        <w:t xml:space="preserve">3. </w:t>
      </w:r>
      <w:r>
        <w:rPr>
          <w:rFonts w:ascii="Times New Roman" w:hAnsi="Times New Roman"/>
          <w:b/>
          <w:color w:val="auto"/>
          <w:sz w:val="24"/>
          <w:szCs w:val="24"/>
        </w:rPr>
        <w:tab/>
      </w:r>
      <w:r>
        <w:rPr>
          <w:rFonts w:ascii="Times New Roman" w:hAnsi="Times New Roman"/>
          <w:b/>
          <w:color w:val="auto"/>
          <w:sz w:val="24"/>
        </w:rPr>
        <w:t>Andre politikområder og samarbejdsmuligheder</w:t>
      </w:r>
    </w:p>
    <w:p w:rsidR="00E01D16" w:rsidRPr="007D6282" w:rsidRDefault="00E01D16" w:rsidP="00484BFA">
      <w:pPr>
        <w:spacing w:after="0" w:line="288" w:lineRule="auto"/>
        <w:rPr>
          <w:rFonts w:eastAsiaTheme="majorEastAsia"/>
          <w:lang w:val="en-GB"/>
        </w:rPr>
      </w:pPr>
    </w:p>
    <w:p w:rsidR="00E01D16" w:rsidRPr="00605E9C" w:rsidRDefault="00E01D16" w:rsidP="00484BFA">
      <w:pPr>
        <w:spacing w:after="0" w:line="288" w:lineRule="auto"/>
        <w:rPr>
          <w:bCs/>
        </w:rPr>
      </w:pPr>
      <w:r w:rsidRPr="00605E9C">
        <w:t xml:space="preserve">I øjeblikket er der flere andre initiativer på GD EMPL's dagsorden, bl.a.: </w:t>
      </w:r>
    </w:p>
    <w:p w:rsidR="007A1EBE" w:rsidRPr="00605E9C" w:rsidRDefault="007A1EBE" w:rsidP="00484BFA">
      <w:pPr>
        <w:spacing w:after="0" w:line="288" w:lineRule="auto"/>
        <w:rPr>
          <w:bCs/>
          <w:lang w:val="en-GB"/>
        </w:rPr>
      </w:pPr>
    </w:p>
    <w:p w:rsidR="00457987" w:rsidRPr="00605E9C" w:rsidRDefault="007A1EBE" w:rsidP="00484BFA">
      <w:pPr>
        <w:pStyle w:val="ListParagraph"/>
        <w:numPr>
          <w:ilvl w:val="0"/>
          <w:numId w:val="33"/>
        </w:numPr>
        <w:spacing w:after="0" w:line="288" w:lineRule="auto"/>
        <w:ind w:left="360"/>
        <w:jc w:val="both"/>
        <w:rPr>
          <w:rFonts w:asciiTheme="minorHAnsi" w:hAnsiTheme="minorHAnsi"/>
        </w:rPr>
      </w:pPr>
      <w:r w:rsidRPr="00605E9C">
        <w:rPr>
          <w:rFonts w:asciiTheme="minorHAnsi" w:hAnsiTheme="minorHAnsi"/>
        </w:rPr>
        <w:t>handlingsplanen for den sociale økonomi, som forventes at blive vedtaget i 2021. Man kunne inden for rammerne af samarbejdet undersøge aktiviteter i forbindelse med social inklusion, jobskabelse, omsorgssektoren (børnepasning og ældrepleje), andre sociale tjenester samt social innovation inden for den sociale økonomi på regionalt og tværregionalt plan</w:t>
      </w:r>
    </w:p>
    <w:p w:rsidR="00E01D16" w:rsidRPr="00605E9C" w:rsidRDefault="007A1EBE" w:rsidP="00484BFA">
      <w:pPr>
        <w:pStyle w:val="ListParagraph"/>
        <w:numPr>
          <w:ilvl w:val="0"/>
          <w:numId w:val="33"/>
        </w:numPr>
        <w:spacing w:after="0" w:line="288" w:lineRule="auto"/>
        <w:ind w:left="360"/>
        <w:jc w:val="both"/>
        <w:rPr>
          <w:rFonts w:asciiTheme="minorHAnsi" w:hAnsiTheme="minorHAnsi"/>
        </w:rPr>
      </w:pPr>
      <w:r w:rsidRPr="00605E9C">
        <w:rPr>
          <w:rFonts w:asciiTheme="minorHAnsi" w:hAnsiTheme="minorHAnsi"/>
        </w:rPr>
        <w:t>rimelige mindstelønninger i EU, som Kommissionen den 28. oktober 2020 fremsatte et direktivforslag til</w:t>
      </w:r>
    </w:p>
    <w:p w:rsidR="00E01D16" w:rsidRPr="00605E9C" w:rsidRDefault="007A1EBE" w:rsidP="00021968">
      <w:pPr>
        <w:pStyle w:val="ListParagraph"/>
        <w:numPr>
          <w:ilvl w:val="0"/>
          <w:numId w:val="33"/>
        </w:numPr>
        <w:spacing w:after="0" w:line="288" w:lineRule="auto"/>
        <w:ind w:left="360"/>
        <w:rPr>
          <w:rFonts w:asciiTheme="minorHAnsi" w:hAnsiTheme="minorHAnsi"/>
        </w:rPr>
      </w:pPr>
      <w:r w:rsidRPr="00605E9C">
        <w:rPr>
          <w:rFonts w:asciiTheme="minorHAnsi" w:hAnsiTheme="minorHAnsi"/>
        </w:rPr>
        <w:t>sæsonarbejderes arbejdsforhold, som Kommissionen i 2020 har udstukket retningslinjer for</w:t>
      </w:r>
    </w:p>
    <w:p w:rsidR="00E01D16" w:rsidRPr="007D6282" w:rsidRDefault="007A1EBE" w:rsidP="00484BFA">
      <w:pPr>
        <w:pStyle w:val="ListParagraph"/>
        <w:numPr>
          <w:ilvl w:val="0"/>
          <w:numId w:val="33"/>
        </w:numPr>
        <w:spacing w:after="0" w:line="288" w:lineRule="auto"/>
        <w:ind w:left="360"/>
        <w:jc w:val="both"/>
      </w:pPr>
      <w:r w:rsidRPr="00605E9C">
        <w:rPr>
          <w:rFonts w:asciiTheme="minorHAnsi" w:hAnsiTheme="minorHAnsi"/>
        </w:rPr>
        <w:t>aspekter af de demografiske ændringer, som falder ind under GD EMPL's ansvarsområde.</w:t>
      </w:r>
    </w:p>
    <w:p w:rsidR="007A1EBE" w:rsidRPr="007D6282" w:rsidRDefault="007A1EBE" w:rsidP="00484BFA">
      <w:pPr>
        <w:spacing w:after="0" w:line="288" w:lineRule="auto"/>
        <w:rPr>
          <w:lang w:val="en-GB"/>
        </w:rPr>
      </w:pPr>
    </w:p>
    <w:p w:rsidR="00E01D16" w:rsidRPr="007D6282" w:rsidRDefault="00E01D16" w:rsidP="00021968">
      <w:pPr>
        <w:spacing w:after="0" w:line="288" w:lineRule="auto"/>
        <w:jc w:val="both"/>
      </w:pPr>
      <w:r>
        <w:t>RU vil sigte mod at intensivere høringerne af de lokale og regionale myndigheder for at bidrage til disse centrale indsatsområder. Derudover vil RU og GD EMPL søge at intensivere videnudvekslingen om disse emner.</w:t>
      </w:r>
    </w:p>
    <w:p w:rsidR="00E01D16" w:rsidRPr="00605E9C" w:rsidRDefault="00E01D16" w:rsidP="00484BFA">
      <w:pPr>
        <w:spacing w:after="0" w:line="288" w:lineRule="auto"/>
        <w:rPr>
          <w:lang w:val="en-GB"/>
        </w:rPr>
      </w:pPr>
    </w:p>
    <w:p w:rsidR="003E36A3" w:rsidRPr="00605E9C" w:rsidRDefault="003E36A3" w:rsidP="00021968">
      <w:pPr>
        <w:spacing w:after="0" w:line="288" w:lineRule="auto"/>
        <w:jc w:val="both"/>
      </w:pPr>
      <w:r w:rsidRPr="00605E9C">
        <w:t>For at styrke samarbejdet mellem RU og GD EMPL kunne man forestille sig følgende supplerende tiltag:</w:t>
      </w:r>
    </w:p>
    <w:p w:rsidR="005B2DC3" w:rsidRPr="00605E9C" w:rsidRDefault="005B2DC3" w:rsidP="00484BFA">
      <w:pPr>
        <w:spacing w:after="0" w:line="288" w:lineRule="auto"/>
        <w:rPr>
          <w:lang w:val="en-GB"/>
        </w:rPr>
      </w:pPr>
    </w:p>
    <w:p w:rsidR="003E36A3" w:rsidRPr="00605E9C" w:rsidRDefault="007A1EBE" w:rsidP="00484BFA">
      <w:pPr>
        <w:pStyle w:val="ListParagraph"/>
        <w:numPr>
          <w:ilvl w:val="0"/>
          <w:numId w:val="17"/>
        </w:numPr>
        <w:spacing w:after="0" w:line="288" w:lineRule="auto"/>
        <w:ind w:left="357" w:hanging="357"/>
        <w:jc w:val="both"/>
        <w:rPr>
          <w:rFonts w:asciiTheme="minorHAnsi" w:hAnsiTheme="minorHAnsi"/>
        </w:rPr>
      </w:pPr>
      <w:r w:rsidRPr="00605E9C">
        <w:rPr>
          <w:rFonts w:asciiTheme="minorHAnsi" w:hAnsiTheme="minorHAnsi"/>
        </w:rPr>
        <w:t>en regelmæssig politisk dialog inden for rammerne af RU's plenarforsamlinger og SEDEC</w:t>
      </w:r>
      <w:r w:rsidR="00021968">
        <w:rPr>
          <w:rFonts w:asciiTheme="minorHAnsi" w:hAnsiTheme="minorHAnsi"/>
        </w:rPr>
        <w:noBreakHyphen/>
      </w:r>
      <w:r w:rsidRPr="00605E9C">
        <w:rPr>
          <w:rFonts w:asciiTheme="minorHAnsi" w:hAnsiTheme="minorHAnsi"/>
        </w:rPr>
        <w:t>underudvalgets møder</w:t>
      </w:r>
    </w:p>
    <w:p w:rsidR="003E36A3" w:rsidRPr="00605E9C" w:rsidRDefault="007A1EBE" w:rsidP="00484BFA">
      <w:pPr>
        <w:pStyle w:val="ListParagraph"/>
        <w:numPr>
          <w:ilvl w:val="0"/>
          <w:numId w:val="17"/>
        </w:numPr>
        <w:spacing w:after="0" w:line="288" w:lineRule="auto"/>
        <w:ind w:left="357" w:hanging="357"/>
        <w:jc w:val="both"/>
        <w:rPr>
          <w:rFonts w:asciiTheme="minorHAnsi" w:hAnsiTheme="minorHAnsi"/>
        </w:rPr>
      </w:pPr>
      <w:r w:rsidRPr="00605E9C">
        <w:rPr>
          <w:rFonts w:asciiTheme="minorHAnsi" w:hAnsiTheme="minorHAnsi"/>
        </w:rPr>
        <w:t>overveje, om RU-medlemmer og -ordførere skal deltage i konferencer og arrangementer, der afholdes af GD EMPL, og hvor det lokale og regionale perspektiv tilfører en merværdi</w:t>
      </w:r>
    </w:p>
    <w:p w:rsidR="003E36A3" w:rsidRPr="00605E9C" w:rsidRDefault="007A1EBE" w:rsidP="00484BFA">
      <w:pPr>
        <w:pStyle w:val="ListParagraph"/>
        <w:numPr>
          <w:ilvl w:val="0"/>
          <w:numId w:val="17"/>
        </w:numPr>
        <w:spacing w:after="0" w:line="288" w:lineRule="auto"/>
        <w:ind w:left="357" w:hanging="357"/>
        <w:jc w:val="both"/>
        <w:rPr>
          <w:rFonts w:asciiTheme="minorHAnsi" w:hAnsiTheme="minorHAnsi"/>
        </w:rPr>
      </w:pPr>
      <w:r w:rsidRPr="00605E9C">
        <w:rPr>
          <w:rFonts w:asciiTheme="minorHAnsi" w:hAnsiTheme="minorHAnsi"/>
        </w:rPr>
        <w:t>på anmodning informere RU-medlemmer om tilgængelig EU-finansiering og politisk støtte for at vise, hvordan EU kan hjælpe regioner og byer med den grønne og digitale omstilling</w:t>
      </w:r>
    </w:p>
    <w:p w:rsidR="002E7C63" w:rsidRPr="00605E9C" w:rsidRDefault="007A1EBE" w:rsidP="00484BFA">
      <w:pPr>
        <w:pStyle w:val="ListParagraph"/>
        <w:numPr>
          <w:ilvl w:val="0"/>
          <w:numId w:val="17"/>
        </w:numPr>
        <w:spacing w:after="0" w:line="288" w:lineRule="auto"/>
        <w:ind w:left="357" w:hanging="357"/>
        <w:jc w:val="both"/>
        <w:rPr>
          <w:rFonts w:asciiTheme="minorHAnsi" w:hAnsiTheme="minorHAnsi"/>
        </w:rPr>
      </w:pPr>
      <w:r w:rsidRPr="00605E9C">
        <w:rPr>
          <w:rFonts w:asciiTheme="minorHAnsi" w:hAnsiTheme="minorHAnsi"/>
        </w:rPr>
        <w:t>undersøge fælles kommunikationstiltag, hvor det er relevant</w:t>
      </w:r>
    </w:p>
    <w:p w:rsidR="006D7CA9" w:rsidRPr="007D6282" w:rsidRDefault="007A1EBE" w:rsidP="00484BFA">
      <w:pPr>
        <w:pStyle w:val="ListParagraph"/>
        <w:numPr>
          <w:ilvl w:val="0"/>
          <w:numId w:val="17"/>
        </w:numPr>
        <w:spacing w:after="0" w:line="288" w:lineRule="auto"/>
        <w:ind w:left="357" w:hanging="357"/>
        <w:jc w:val="both"/>
      </w:pPr>
      <w:r w:rsidRPr="00605E9C">
        <w:rPr>
          <w:rFonts w:asciiTheme="minorHAnsi" w:hAnsiTheme="minorHAnsi"/>
        </w:rPr>
        <w:t>undersøge synergier med initiativer fra andre GD'er som f.eks. "S3 Industrial Modernisation Thematic Platform partnership on Social Economy" (</w:t>
      </w:r>
      <w:hyperlink r:id="rId15" w:history="1">
        <w:r w:rsidRPr="00605E9C">
          <w:rPr>
            <w:rStyle w:val="Hyperlink"/>
            <w:rFonts w:asciiTheme="minorHAnsi" w:hAnsiTheme="minorHAnsi"/>
          </w:rPr>
          <w:t>https://s3platform.jrc.ec.europa.eu/social-economy</w:t>
        </w:r>
      </w:hyperlink>
      <w:r w:rsidRPr="00605E9C">
        <w:rPr>
          <w:rFonts w:asciiTheme="minorHAnsi" w:hAnsiTheme="minorHAnsi"/>
        </w:rPr>
        <w:t>).</w:t>
      </w:r>
    </w:p>
    <w:p w:rsidR="006D7CA9" w:rsidRPr="007D6282" w:rsidRDefault="006D7CA9" w:rsidP="00484BFA">
      <w:pPr>
        <w:spacing w:after="0" w:line="288" w:lineRule="auto"/>
        <w:rPr>
          <w:lang w:val="en-GB"/>
        </w:rPr>
      </w:pPr>
    </w:p>
    <w:p w:rsidR="006D7CA9" w:rsidRPr="007D6282" w:rsidRDefault="0068468C" w:rsidP="00484BFA">
      <w:pPr>
        <w:pStyle w:val="Heading1"/>
        <w:spacing w:before="0" w:after="0" w:line="288" w:lineRule="auto"/>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4. </w:t>
      </w:r>
      <w:r>
        <w:rPr>
          <w:rFonts w:ascii="Times New Roman" w:hAnsi="Times New Roman"/>
          <w:b/>
          <w:color w:val="000000" w:themeColor="text1"/>
          <w:sz w:val="24"/>
          <w:szCs w:val="24"/>
        </w:rPr>
        <w:tab/>
        <w:t>Næste skridt</w:t>
      </w:r>
    </w:p>
    <w:p w:rsidR="006D7CA9" w:rsidRPr="007D6282" w:rsidRDefault="006D7CA9" w:rsidP="00484BFA">
      <w:pPr>
        <w:keepNext/>
        <w:spacing w:after="0" w:line="288" w:lineRule="auto"/>
        <w:rPr>
          <w:lang w:val="en-GB"/>
        </w:rPr>
      </w:pPr>
    </w:p>
    <w:p w:rsidR="000F448C" w:rsidRDefault="00DC0DF4" w:rsidP="00484BFA">
      <w:pPr>
        <w:spacing w:after="0" w:line="288" w:lineRule="auto"/>
        <w:jc w:val="both"/>
      </w:pPr>
      <w:r>
        <w:t>Både GD EMPL og RU vil udpege kontaktpersoner til fastsættelse af de nærmere detaljer i konceptet og metoderne til gennemførelse af lokale europæiske jobmesser og for at sikre et gnidningsfrit samarbejde og samordning af foranstaltningerne på administrativt plan.</w:t>
      </w:r>
    </w:p>
    <w:p w:rsidR="00021968" w:rsidRDefault="00021968" w:rsidP="00484BFA">
      <w:pPr>
        <w:spacing w:after="0" w:line="288" w:lineRule="auto"/>
        <w:jc w:val="both"/>
      </w:pPr>
    </w:p>
    <w:p w:rsidR="00021968" w:rsidRDefault="00021968">
      <w:pPr>
        <w:overflowPunct w:val="0"/>
        <w:autoSpaceDE w:val="0"/>
        <w:autoSpaceDN w:val="0"/>
        <w:adjustRightInd w:val="0"/>
        <w:spacing w:line="288" w:lineRule="auto"/>
        <w:jc w:val="center"/>
        <w:textAlignment w:val="baseline"/>
        <w:rPr>
          <w:lang w:val="nl-BE"/>
        </w:rPr>
      </w:pPr>
      <w:r>
        <w:rPr>
          <w:lang w:val="nl-BE"/>
        </w:rPr>
        <w:t>_____________</w:t>
      </w:r>
    </w:p>
    <w:p w:rsidR="00021968" w:rsidRPr="003814FB" w:rsidRDefault="00021968" w:rsidP="00484BFA">
      <w:pPr>
        <w:spacing w:after="0" w:line="288" w:lineRule="auto"/>
        <w:jc w:val="both"/>
      </w:pPr>
    </w:p>
    <w:sectPr w:rsidR="00021968" w:rsidRPr="003814F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021968">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484BFA">
      <w:pPr>
        <w:pStyle w:val="FootnoteText"/>
        <w:tabs>
          <w:tab w:val="left" w:pos="567"/>
        </w:tabs>
        <w:spacing w:after="60"/>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https://ec.europa.eu/commission/sites/beta-political/files/reflection-paper-social-dimension-europe_da.pdf</w:t>
        </w:r>
      </w:hyperlink>
    </w:p>
  </w:footnote>
  <w:footnote w:id="3">
    <w:p w:rsidR="00EB2F01" w:rsidRPr="007D6282" w:rsidRDefault="00EB2F01" w:rsidP="00484BFA">
      <w:pPr>
        <w:pStyle w:val="FootnoteText"/>
        <w:tabs>
          <w:tab w:val="left" w:pos="567"/>
        </w:tabs>
        <w:spacing w:after="60"/>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https://eur-lex.europa.eu/LexUriServ/LexUriServ.do?uri=OJ:C:2012:102:0006:0010:DA:PDF</w:t>
        </w:r>
      </w:hyperlink>
    </w:p>
  </w:footnote>
  <w:footnote w:id="4">
    <w:p w:rsidR="00EB2F01" w:rsidRPr="007D6282" w:rsidRDefault="00EB2F01" w:rsidP="00484BFA">
      <w:pPr>
        <w:pStyle w:val="FootnoteText"/>
        <w:tabs>
          <w:tab w:val="left" w:pos="567"/>
        </w:tabs>
        <w:spacing w:after="60"/>
        <w:ind w:left="567" w:hanging="567"/>
        <w:rPr>
          <w:sz w:val="16"/>
          <w:szCs w:val="16"/>
        </w:rPr>
      </w:pPr>
      <w:r>
        <w:rPr>
          <w:rStyle w:val="FootnoteReference"/>
          <w:sz w:val="24"/>
          <w:szCs w:val="24"/>
        </w:rPr>
        <w:footnoteRef/>
      </w:r>
      <w:r>
        <w:tab/>
      </w:r>
      <w:r w:rsidRPr="00605E9C">
        <w:rPr>
          <w:sz w:val="16"/>
        </w:rPr>
        <w:t>COM(2020) 447 final.</w:t>
      </w:r>
    </w:p>
  </w:footnote>
  <w:footnote w:id="5">
    <w:p w:rsidR="00EB2F01" w:rsidRPr="007D6282" w:rsidRDefault="00EB2F01" w:rsidP="00484BFA">
      <w:pPr>
        <w:pStyle w:val="FootnoteText"/>
        <w:tabs>
          <w:tab w:val="left" w:pos="567"/>
        </w:tabs>
        <w:spacing w:after="60"/>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I meddelelsen om støtte til ungdomsbeskæftigelse: en bro til job for den næste generation (COM(2020) 276 final) opfordrede Kommissionen indtrængende medlemsstaterne til at optrappe støtten til ungdomsbeskæftigelsen og afsætte flere midler til dette mål sammenlignet med finansieringsperioden 2014-2020, der skønnes at beløbe sig til 22 mia. EUR.</w:t>
      </w:r>
    </w:p>
  </w:footnote>
  <w:footnote w:id="6">
    <w:p w:rsidR="00EB2F01" w:rsidRPr="007D6282" w:rsidRDefault="00EB2F01" w:rsidP="00484BFA">
      <w:pPr>
        <w:pStyle w:val="FootnoteText"/>
        <w:tabs>
          <w:tab w:val="left" w:pos="567"/>
        </w:tabs>
        <w:spacing w:after="60"/>
        <w:ind w:left="567" w:hanging="567"/>
        <w:rPr>
          <w:sz w:val="16"/>
          <w:szCs w:val="16"/>
        </w:rPr>
      </w:pPr>
      <w:r>
        <w:rPr>
          <w:rStyle w:val="FootnoteReference"/>
          <w:sz w:val="24"/>
          <w:szCs w:val="24"/>
        </w:rPr>
        <w:footnoteRef/>
      </w:r>
      <w:r>
        <w:t xml:space="preserve"> </w:t>
      </w:r>
      <w:r>
        <w:tab/>
      </w:r>
      <w:r w:rsidRPr="00605E9C">
        <w:rPr>
          <w:sz w:val="16"/>
        </w:rPr>
        <w:t>Rådets henstilling om en bro til job – styrkelse af ungdomsgarantien er blevet politisk godkendt i Rådet og vil blive vedtaget inden udgangen af 2020.</w:t>
      </w:r>
    </w:p>
  </w:footnote>
  <w:footnote w:id="7">
    <w:p w:rsidR="00EB2F01" w:rsidRPr="007D6282" w:rsidRDefault="00EB2F01" w:rsidP="00484BFA">
      <w:pPr>
        <w:pStyle w:val="FootnoteText"/>
        <w:tabs>
          <w:tab w:val="left" w:pos="567"/>
        </w:tabs>
        <w:spacing w:after="60"/>
        <w:ind w:left="567" w:hanging="567"/>
        <w:rPr>
          <w:sz w:val="16"/>
          <w:szCs w:val="16"/>
        </w:rPr>
      </w:pPr>
      <w:r>
        <w:rPr>
          <w:rStyle w:val="FootnoteReference"/>
          <w:sz w:val="24"/>
          <w:szCs w:val="24"/>
        </w:rPr>
        <w:footnoteRef/>
      </w:r>
      <w:r>
        <w:tab/>
      </w:r>
      <w:r w:rsidRPr="00605E9C">
        <w:rPr>
          <w:sz w:val="16"/>
        </w:rPr>
        <w:t>COM(2020) 276 final.</w:t>
      </w:r>
      <w:r>
        <w:rPr>
          <w:sz w:val="16"/>
          <w:szCs w:val="16"/>
        </w:rPr>
        <w:t xml:space="preserve"> </w:t>
      </w:r>
    </w:p>
  </w:footnote>
  <w:footnote w:id="8">
    <w:p w:rsidR="002867F1" w:rsidRPr="007D6282" w:rsidRDefault="002867F1">
      <w:pPr>
        <w:pStyle w:val="FootnoteText"/>
        <w:rPr>
          <w:sz w:val="16"/>
          <w:szCs w:val="16"/>
        </w:rPr>
      </w:pPr>
      <w:r>
        <w:rPr>
          <w:rStyle w:val="FootnoteReference"/>
          <w:sz w:val="24"/>
          <w:szCs w:val="24"/>
        </w:rPr>
        <w:footnoteRef/>
      </w:r>
      <w:r>
        <w:tab/>
      </w:r>
      <w:r w:rsidRPr="00605E9C">
        <w:rPr>
          <w:sz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4CB0757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1968"/>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84BFA"/>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21C7"/>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05E9C"/>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2B46"/>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06254E"/>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da-DK"/>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da-DK"/>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da-DK"/>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da-DK"/>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da-DK"/>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da-DK"/>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da-DK"/>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da-DK"/>
    </w:rPr>
  </w:style>
  <w:style w:type="character" w:customStyle="1" w:styleId="Heading3Char">
    <w:name w:val="Heading 3 Char"/>
    <w:basedOn w:val="DefaultParagraphFont"/>
    <w:link w:val="Heading3"/>
    <w:rsid w:val="00A31CB4"/>
    <w:rPr>
      <w:lang w:val="da-DK"/>
    </w:rPr>
  </w:style>
  <w:style w:type="character" w:customStyle="1" w:styleId="Heading4Char">
    <w:name w:val="Heading 4 Char"/>
    <w:basedOn w:val="DefaultParagraphFont"/>
    <w:link w:val="Heading4"/>
    <w:rsid w:val="00A31CB4"/>
    <w:rPr>
      <w:lang w:val="da-DK"/>
    </w:rPr>
  </w:style>
  <w:style w:type="character" w:customStyle="1" w:styleId="Heading5Char">
    <w:name w:val="Heading 5 Char"/>
    <w:basedOn w:val="DefaultParagraphFont"/>
    <w:link w:val="Heading5"/>
    <w:rsid w:val="00A31CB4"/>
    <w:rPr>
      <w:lang w:val="da-DK"/>
    </w:rPr>
  </w:style>
  <w:style w:type="character" w:customStyle="1" w:styleId="Heading6Char">
    <w:name w:val="Heading 6 Char"/>
    <w:basedOn w:val="DefaultParagraphFont"/>
    <w:link w:val="Heading6"/>
    <w:rsid w:val="00A31CB4"/>
    <w:rPr>
      <w:lang w:val="da-DK"/>
    </w:rPr>
  </w:style>
  <w:style w:type="character" w:customStyle="1" w:styleId="Heading7Char">
    <w:name w:val="Heading 7 Char"/>
    <w:basedOn w:val="DefaultParagraphFont"/>
    <w:link w:val="Heading7"/>
    <w:rsid w:val="00A31CB4"/>
    <w:rPr>
      <w:lang w:val="da-DK"/>
    </w:rPr>
  </w:style>
  <w:style w:type="character" w:customStyle="1" w:styleId="Heading8Char">
    <w:name w:val="Heading 8 Char"/>
    <w:basedOn w:val="DefaultParagraphFont"/>
    <w:link w:val="Heading8"/>
    <w:rsid w:val="00A31CB4"/>
    <w:rPr>
      <w:lang w:val="da-DK"/>
    </w:rPr>
  </w:style>
  <w:style w:type="character" w:customStyle="1" w:styleId="Heading9Char">
    <w:name w:val="Heading 9 Char"/>
    <w:basedOn w:val="DefaultParagraphFont"/>
    <w:link w:val="Heading9"/>
    <w:rsid w:val="00A31CB4"/>
    <w:rPr>
      <w:lang w:val="da-DK"/>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OJ:C:2012:102:0006:0010:DA:PDF" TargetMode="External"/><Relationship Id="rId1" Type="http://schemas.openxmlformats.org/officeDocument/2006/relationships/hyperlink" Target="https://ec.europa.eu/commission/sites/beta-political/files/reflection-paper-social-dimension-europe_da.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3T5AXJEHYTWU-1246943346-5626</_dlc_DocId>
    <_dlc_DocIdUrl xmlns="0b452354-65a4-4dd6-8824-e6b830247e3e">
      <Url>http://dm2016/cor/2020/_layouts/15/DocIdRedir.aspx?ID=3T5AXJEHYTWU-1246943346-5626</Url>
      <Description>3T5AXJEHYTWU-1246943346-5626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2020-11-23T12:00:00+00:00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4CF08656-70E8-459D-ACF5-E8265230C6F5}"/>
</file>

<file path=customXml/itemProps2.xml><?xml version="1.0" encoding="utf-8"?>
<ds:datastoreItem xmlns:ds="http://schemas.openxmlformats.org/officeDocument/2006/customXml" ds:itemID="{D793A15F-8A87-4566-A8EF-2672DC1255B2}"/>
</file>

<file path=customXml/itemProps3.xml><?xml version="1.0" encoding="utf-8"?>
<ds:datastoreItem xmlns:ds="http://schemas.openxmlformats.org/officeDocument/2006/customXml" ds:itemID="{CE00B774-8D17-4F63-856C-74DCAE38389E}"/>
</file>

<file path=customXml/itemProps4.xml><?xml version="1.0" encoding="utf-8"?>
<ds:datastoreItem xmlns:ds="http://schemas.openxmlformats.org/officeDocument/2006/customXml" ds:itemID="{C12E7BED-85B9-475B-A6FE-3014AFB414E6}"/>
</file>

<file path=docProps/app.xml><?xml version="1.0" encoding="utf-8"?>
<Properties xmlns="http://schemas.openxmlformats.org/officeDocument/2006/extended-properties" xmlns:vt="http://schemas.openxmlformats.org/officeDocument/2006/docPropsVTypes">
  <Template>Styles.dotm</Template>
  <TotalTime>13</TotalTime>
  <Pages>8</Pages>
  <Words>2560</Words>
  <Characters>15617</Characters>
  <Application>Microsoft Office Word</Application>
  <DocSecurity>0</DocSecurity>
  <Lines>130</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 - GD EMPL fælles dokument: Områder med forstærket samarbejde </dc:title>
  <dc:subject>Rådgivende arbejde, diverse</dc:subject>
  <dc:creator>Thomas Wobben</dc:creator>
  <cp:keywords>COR-2020-04835-00-01-TCD-TRA-EN</cp:keywords>
  <dc:description>Rapporteur:  - Original language: EN - Date of document: 23/11/2020 - Date of meeting: 25/11/2020 - External documents:  - Administrator:  PETRAS Georgios</dc:description>
  <cp:lastModifiedBy>Ulla Vang</cp:lastModifiedBy>
  <cp:revision>7</cp:revision>
  <cp:lastPrinted>2020-10-07T12:59:00Z</cp:lastPrinted>
  <dcterms:created xsi:type="dcterms:W3CDTF">2020-11-17T16:19:00Z</dcterms:created>
  <dcterms:modified xsi:type="dcterms:W3CDTF">2020-11-23T16:13:00Z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cb0eb98c-a73f-4f7b-9b11-9c4b1683b5dc</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LT|a7ff5ce7-6123-4f68-865a-a57c31810414;PT|50ccc04a-eadd-42ae-a0cb-acaf45f812ba;HR|2f555653-ed1a-4fe6-8362-9082d95989e5;MT|7df99101-6854-4a26-b53a-b88c0da02c26;PL|1e03da61-4678-4e07-b136-b5024ca9197b;SV|c2ed69e7-a339-43d7-8f22-d93680a92aa0;ET|ff6c3f4c-b02c-4c3c-ab07-2c37995a7a0a;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31;#LV|46f7e311-5d9f-4663-b433-18aeccb7ace7;#29;#SV|c2ed69e7-a339-43d7-8f22-d93680a92aa0;#25;#ET|ff6c3f4c-b02c-4c3c-ab07-2c37995a7a0a;#50;#SEDEC-VII|2234d809-5ab4-4b5b-84d4-8dd3531523c3;#22;#TCD|cd9d6eb6-3f4f-424a-b2d1-57c9d450eaaf;#19;#LT|a7ff5ce7-6123-4f68-865a-a57c31810414;#17;#PL|1e03da61-4678-4e07-b136-b5024ca9197b;#14;#MT|7df99101-6854-4a26-b53a-b88c0da02c26;#13;#HR|2f555653-ed1a-4fe6-8362-9082d95989e5;#8;#TRA|150d2a88-1431-44e6-a8ca-0bb753ab8672;#7;#EN|f2175f21-25d7-44a3-96da-d6a61b075e1b;#6;#Final|ea5e6674-7b27-4bac-b091-73adbb394efe;#5;#Unrestricted|826e22d7-d029-4ec0-a450-0c28ff673572;#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30;#DA|5d49c027-8956-412b-aa16-e85a0f96ad0e</vt:lpwstr>
  </property>
</Properties>
</file>