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B5D" w:rsidRPr="003814FB" w:rsidRDefault="0023381A" w:rsidP="00151730">
      <w:pPr>
        <w:rPr>
          <w:b/>
          <w:sz w:val="36"/>
          <w:szCs w:val="36"/>
          <w:u w:val="single"/>
        </w:rPr>
      </w:pPr>
      <w:r>
        <w:rPr>
          <w:noProof/>
          <w:lang w:val="en-US"/>
        </w:rPr>
        <w:drawing>
          <wp:anchor distT="0" distB="0" distL="114300" distR="114300" simplePos="0" relativeHeight="251658240" behindDoc="0" locked="0" layoutInCell="1" allowOverlap="1" wp14:anchorId="7062ED57" wp14:editId="16948DED">
            <wp:simplePos x="0" y="0"/>
            <wp:positionH relativeFrom="margin">
              <wp:align>right</wp:align>
            </wp:positionH>
            <wp:positionV relativeFrom="paragraph">
              <wp:posOffset>0</wp:posOffset>
            </wp:positionV>
            <wp:extent cx="1202400" cy="925200"/>
            <wp:effectExtent l="0" t="0" r="0" b="8255"/>
            <wp:wrapNone/>
            <wp:docPr id="5" name="Picture 5"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for Word EN Positiv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2400" cy="925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inline distT="0" distB="0" distL="0" distR="0" wp14:anchorId="1ACC1283" wp14:editId="1D76655F">
            <wp:extent cx="1002474" cy="924834"/>
            <wp:effectExtent l="0" t="0" r="762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R-vertical-positive-en-quadri_HR letterhea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08729" cy="930604"/>
                    </a:xfrm>
                    <a:prstGeom prst="rect">
                      <a:avLst/>
                    </a:prstGeom>
                  </pic:spPr>
                </pic:pic>
              </a:graphicData>
            </a:graphic>
          </wp:inline>
        </w:drawing>
      </w:r>
    </w:p>
    <w:p w:rsidR="00B87B5D" w:rsidRPr="003814FB" w:rsidRDefault="00C82EBC">
      <w:pPr>
        <w:jc w:val="center"/>
        <w:rPr>
          <w:b/>
          <w:sz w:val="36"/>
          <w:szCs w:val="36"/>
          <w:u w:val="single"/>
        </w:rPr>
      </w:pPr>
      <w:r>
        <w:rPr>
          <w:b/>
          <w:noProof/>
          <w:sz w:val="20"/>
          <w:szCs w:val="36"/>
          <w:u w:val="single"/>
          <w:lang w:val="en-US"/>
        </w:rPr>
        <mc:AlternateContent>
          <mc:Choice Requires="wps">
            <w:drawing>
              <wp:anchor distT="0" distB="0" distL="114300" distR="114300" simplePos="0" relativeHeight="251664384" behindDoc="1" locked="0" layoutInCell="0" allowOverlap="1" wp14:anchorId="0A16B62C" wp14:editId="245779F2">
                <wp:simplePos x="0" y="0"/>
                <wp:positionH relativeFrom="page">
                  <wp:posOffset>6769100</wp:posOffset>
                </wp:positionH>
                <wp:positionV relativeFrom="page">
                  <wp:posOffset>10081260</wp:posOffset>
                </wp:positionV>
                <wp:extent cx="647700" cy="396240"/>
                <wp:effectExtent l="0" t="3810" r="3175"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EBC" w:rsidRPr="00260E65" w:rsidRDefault="00C82EBC">
                            <w:pPr>
                              <w:jc w:val="center"/>
                              <w:rPr>
                                <w:rFonts w:ascii="Arial" w:hAnsi="Arial" w:cs="Arial"/>
                                <w:b/>
                                <w:bCs/>
                                <w:sz w:val="48"/>
                              </w:rPr>
                            </w:pPr>
                            <w:r>
                              <w:rPr>
                                <w:rFonts w:ascii="Arial" w:hAnsi="Arial"/>
                                <w:b/>
                                <w:bCs/>
                                <w:sz w:val="48"/>
                              </w:rPr>
                              <w: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6B62C"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l0EtQIAALk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B2tl0EtQIAALkF&#10;AAAOAAAAAAAAAAAAAAAAAC4CAABkcnMvZTJvRG9jLnhtbFBLAQItABQABgAIAAAAIQDrVDFa3gAA&#10;AA8BAAAPAAAAAAAAAAAAAAAAAA8FAABkcnMvZG93bnJldi54bWxQSwUGAAAAAAQABADzAAAAGgYA&#10;AAAA&#10;" o:allowincell="f" filled="f" stroked="f">
                <v:textbox>
                  <w:txbxContent>
                    <w:p w:rsidR="00C82EBC" w:rsidRPr="00260E65" w:rsidRDefault="00C82EBC">
                      <w:pPr>
                        <w:jc w:val="center"/>
                        <w:rPr>
                          <w:rFonts w:ascii="Arial" w:hAnsi="Arial" w:cs="Arial"/>
                          <w:b/>
                          <w:bCs/>
                          <w:sz w:val="48"/>
                        </w:rPr>
                      </w:pPr>
                      <w:r>
                        <w:rPr>
                          <w:rFonts w:ascii="Arial" w:hAnsi="Arial"/>
                          <w:b/>
                          <w:bCs/>
                          <w:sz w:val="48"/>
                        </w:rPr>
                        <w:t>EL</w:t>
                      </w:r>
                    </w:p>
                  </w:txbxContent>
                </v:textbox>
                <w10:wrap anchorx="page" anchory="page"/>
              </v:shape>
            </w:pict>
          </mc:Fallback>
        </mc:AlternateContent>
      </w:r>
    </w:p>
    <w:p w:rsidR="0072285A" w:rsidRPr="003814FB" w:rsidRDefault="00C34231">
      <w:pPr>
        <w:jc w:val="center"/>
        <w:rPr>
          <w:b/>
          <w:sz w:val="36"/>
          <w:u w:val="single"/>
        </w:rPr>
      </w:pPr>
      <w:r>
        <w:rPr>
          <w:b/>
          <w:sz w:val="36"/>
          <w:u w:val="single"/>
        </w:rPr>
        <w:t>Τομείς ενισχυμένης συνεργασίας</w:t>
      </w:r>
      <w:r>
        <w:rPr>
          <w:b/>
          <w:sz w:val="36"/>
          <w:u w:val="single"/>
        </w:rPr>
        <w:br/>
        <w:t>μεταξύ της Ευρωπαϊκής Επιτροπής των Περιφερειών (ΕτΠ)</w:t>
      </w:r>
      <w:r>
        <w:rPr>
          <w:b/>
          <w:sz w:val="36"/>
          <w:u w:val="single"/>
        </w:rPr>
        <w:br/>
        <w:t>και της Γενικής Διεύθυνσης Απασχόλησης και Κοινωνικών Υποθέσεων της Ευρωπαϊκής Επιτροπής (ΓΔ EMPL)</w:t>
      </w:r>
      <w:r>
        <w:rPr>
          <w:b/>
          <w:sz w:val="36"/>
          <w:u w:val="single"/>
        </w:rPr>
        <w:cr/>
      </w:r>
      <w:r>
        <w:rPr>
          <w:b/>
          <w:sz w:val="36"/>
          <w:u w:val="single"/>
        </w:rPr>
        <w:br/>
      </w:r>
    </w:p>
    <w:p w:rsidR="001C24E4" w:rsidRPr="003814FB" w:rsidRDefault="001C24E4">
      <w:pPr>
        <w:jc w:val="center"/>
        <w:rPr>
          <w:b/>
          <w:sz w:val="36"/>
          <w:szCs w:val="36"/>
          <w:u w:val="single"/>
          <w:lang w:val="en-GB"/>
        </w:rPr>
      </w:pPr>
    </w:p>
    <w:p w:rsidR="009521C5" w:rsidRPr="007D6282" w:rsidRDefault="009521C5" w:rsidP="007D6282">
      <w:pPr>
        <w:pStyle w:val="Heading1"/>
        <w:numPr>
          <w:ilvl w:val="0"/>
          <w:numId w:val="22"/>
        </w:numPr>
        <w:ind w:left="567" w:hanging="567"/>
        <w:rPr>
          <w:rFonts w:ascii="Times New Roman" w:hAnsi="Times New Roman"/>
          <w:b/>
          <w:color w:val="auto"/>
          <w:sz w:val="24"/>
        </w:rPr>
      </w:pPr>
      <w:r>
        <w:rPr>
          <w:rFonts w:ascii="Times New Roman" w:hAnsi="Times New Roman"/>
          <w:b/>
          <w:color w:val="auto"/>
          <w:sz w:val="24"/>
        </w:rPr>
        <w:t>Εισαγωγή</w:t>
      </w:r>
    </w:p>
    <w:p w:rsidR="00014693" w:rsidRPr="007D6282" w:rsidRDefault="00014693">
      <w:pPr>
        <w:rPr>
          <w:sz w:val="24"/>
          <w:szCs w:val="24"/>
          <w:lang w:val="en-GB"/>
        </w:rPr>
      </w:pPr>
    </w:p>
    <w:p w:rsidR="00014E6A" w:rsidRPr="007D6282" w:rsidRDefault="00C82EBC">
      <w:pPr>
        <w:rPr>
          <w:color w:val="000000"/>
        </w:rPr>
      </w:pPr>
      <w:r>
        <w:t>Είναι σαφές ότι από την κρίση που προκάλεσε η νόσος COVID-19 και μετέπειτα, αλλά και όχι μόνο, η «κοινωνική Ευρώπη» έχει καίρια σημασία όσον αφορά τη συμβολή της ΕΕ στις δημοκρατικές, συνεκτικές, πολιτισμικά πολύμορφες και ευημερούσες κοινωνίες. Σημαίνει οικονομική και κοινωνική πρόοδο, καταπολέμηση των διακρίσεων και του κοινωνικού αποκλεισμού, καθιστά τους Ευρωπαίους κατάλληλους για την αγορά εργασίας και τους επιτρέπει να ζουν μια πλήρη ζωή</w:t>
      </w:r>
      <w:r w:rsidR="00014E6A" w:rsidRPr="007D6282">
        <w:rPr>
          <w:rStyle w:val="FootnoteReference"/>
          <w:lang w:val="en-GB"/>
        </w:rPr>
        <w:footnoteReference w:id="2"/>
      </w:r>
      <w:r>
        <w:t xml:space="preserve">. </w:t>
      </w:r>
    </w:p>
    <w:p w:rsidR="00014E6A" w:rsidRPr="007D6282" w:rsidRDefault="00014E6A">
      <w:pPr>
        <w:rPr>
          <w:color w:val="000000"/>
          <w:lang w:val="en-GB"/>
        </w:rPr>
      </w:pPr>
    </w:p>
    <w:p w:rsidR="00014E6A" w:rsidRPr="003814FB" w:rsidRDefault="00014E6A" w:rsidP="005D5EB3">
      <w:pPr>
        <w:jc w:val="both"/>
      </w:pPr>
      <w:r>
        <w:t xml:space="preserve">Ενώ η Ευρωπαϊκή Επιτροπή των Περιφερειών (ΕτΠ) και η Γενική Διεύθυνση Απασχόλησης, Κοινωνικών Υποθέσεων και Ένταξης (ΓΔ EMPL) συνεργάστηκαν σε διάφορους τομείς στο παρελθόν, είναι προφανές, ωστόσο, ότι οι μελλοντικές προκλήσεις και το έντονο ενδιαφέρον του αρμόδιου Επιτρόπου παρέχουν μια ευκαιρία για να τεθεί σε νέο επίπεδο η συνεργασία μεταξύ της Επιτροπής και της ΕτΠ στον τομέα αυτόν. </w:t>
      </w:r>
    </w:p>
    <w:p w:rsidR="00014E6A" w:rsidRPr="003814FB" w:rsidRDefault="00014E6A">
      <w:pPr>
        <w:rPr>
          <w:lang w:val="en-GB"/>
        </w:rPr>
      </w:pPr>
    </w:p>
    <w:p w:rsidR="00014E6A" w:rsidRPr="007D6282" w:rsidRDefault="00014E6A" w:rsidP="007D6282">
      <w:pPr>
        <w:pStyle w:val="ListParagraph"/>
        <w:numPr>
          <w:ilvl w:val="0"/>
          <w:numId w:val="26"/>
        </w:numPr>
        <w:ind w:left="360"/>
        <w:jc w:val="both"/>
      </w:pPr>
      <w:r>
        <w:rPr>
          <w:rFonts w:ascii="Times New Roman" w:hAnsi="Times New Roman"/>
        </w:rPr>
        <w:t xml:space="preserve">Ο Επίτροπος κ. Schmit έδειξε ιδιαίτερο ενδιαφέρον για την ΕτΠ, έχοντας ήδη συμμετάσχει σε δύο συνόδους ολομέλειας και σε μία συνεδρίαση της επιτροπής «Κοινωνική πολιτική, εκπαίδευση, απασχόληση, έρευνα και πολιτισμός» (SEDEC) σε διάστημα μικρότερο από έναν χρόνο </w:t>
      </w:r>
    </w:p>
    <w:p w:rsidR="00164C40" w:rsidRPr="007D6282" w:rsidRDefault="00164C40" w:rsidP="007D6282">
      <w:pPr>
        <w:pStyle w:val="ListParagraph"/>
        <w:numPr>
          <w:ilvl w:val="0"/>
          <w:numId w:val="26"/>
        </w:numPr>
        <w:ind w:left="360"/>
        <w:jc w:val="both"/>
      </w:pPr>
      <w:r>
        <w:rPr>
          <w:rFonts w:ascii="Times New Roman" w:hAnsi="Times New Roman"/>
        </w:rPr>
        <w:t xml:space="preserve">Ο Joost Korte (γενικός διευθυντής της ΓΔ EMPL) παρέστη στη συνεδρίαση της επιτροπής SEDEC τον Φεβρουάριο του 2020, όπου εκφώνησε ομιλία με την οποία ενθάρρυνε τα μέλη της </w:t>
      </w:r>
      <w:r>
        <w:rPr>
          <w:rFonts w:ascii="Times New Roman" w:hAnsi="Times New Roman"/>
        </w:rPr>
        <w:lastRenderedPageBreak/>
        <w:t>ΕτΠ να παράσχουν ανατροφοδότηση, όπως ζητήθηκε από την ανακοίνωση της Επιτροπής με θέμα «Μια ισχυρή Ευρώπη για δίκαιες μεταβάσεις» (η επιτροπή SEDEC βρίσκεται ήδη στη διαδικασία σύνταξης σχετικής γνωμοδότησης)·</w:t>
      </w:r>
    </w:p>
    <w:p w:rsidR="00164C40" w:rsidRPr="007D6282" w:rsidRDefault="00164C40" w:rsidP="007D6282">
      <w:pPr>
        <w:pStyle w:val="ListParagraph"/>
        <w:numPr>
          <w:ilvl w:val="0"/>
          <w:numId w:val="26"/>
        </w:numPr>
        <w:ind w:left="360"/>
        <w:jc w:val="both"/>
      </w:pPr>
      <w:r>
        <w:rPr>
          <w:rFonts w:ascii="Times New Roman" w:hAnsi="Times New Roman"/>
        </w:rPr>
        <w:t>Τόσο ο Επίτροπος όσο και ο γενικός διευθυντής δήλωσαν απερίφραστα ότι αναμένουν από την ΕτΠ να συμμετάσχει ενεργά στην προετοιμασία της κοινωνικής διάσκεψης κορυφής του Πόρτο (Μάιος 2021) και του σχεδίου δράσης για την εφαρμογή του ευρωπαϊκού πυλώνα κοινωνικών δικαιωμάτων (ΕΠΚΔ)·</w:t>
      </w:r>
    </w:p>
    <w:p w:rsidR="006A6308" w:rsidRPr="007D6282" w:rsidRDefault="006A6308" w:rsidP="007D6282">
      <w:pPr>
        <w:pStyle w:val="ListParagraph"/>
        <w:numPr>
          <w:ilvl w:val="0"/>
          <w:numId w:val="26"/>
        </w:numPr>
        <w:ind w:left="360"/>
        <w:jc w:val="both"/>
      </w:pPr>
      <w:r>
        <w:rPr>
          <w:rFonts w:ascii="Times New Roman" w:hAnsi="Times New Roman"/>
        </w:rPr>
        <w:t>Το πνεύμα της αμοιβαίας συνεργασίας προωθήθηκε περαιτέρω κατά τη συνάντηση του Επιτρόπου και του Προέδρου της ΕτΠ (9 Ιουλίου), όπου επιβεβαιώθηκε ότι και τα δύο θεσμικά όργανα θα πρέπει να βρουν περισσότερες ευκαιρίες συνεργασίας.</w:t>
      </w:r>
    </w:p>
    <w:p w:rsidR="00864E4E" w:rsidRPr="003814FB" w:rsidRDefault="00864E4E" w:rsidP="005D5EB3">
      <w:pPr>
        <w:jc w:val="both"/>
      </w:pPr>
      <w:r>
        <w:t>Στο πρωτόκολλο συνεργασίας μεταξύ της Ευρωπαϊκής Επιτροπής και της Επιτροπής των Περιφερειών (2012/C 102/02)</w:t>
      </w:r>
      <w:r w:rsidRPr="007D6282">
        <w:rPr>
          <w:lang w:val="en-GB"/>
        </w:rPr>
        <w:footnoteReference w:id="3"/>
      </w:r>
      <w:r>
        <w:t>, η Επιτροπή και η ΕτΠ συμφώνησαν να εντείνουν τη συνεργασία τους. Το παρόν κοινό υπόμνημα της ΕτΠ και της ΓΔ EMPL παρουσιάζει τους τομείς πολιτικής για την εντατικοποίηση της μεταξύ τους συνεργασίας, καθώς και τα κύρια μέσα.</w:t>
      </w:r>
    </w:p>
    <w:p w:rsidR="003D208F" w:rsidRPr="003814FB" w:rsidRDefault="003D208F">
      <w:pPr>
        <w:rPr>
          <w:lang w:val="en-GB"/>
        </w:rPr>
      </w:pPr>
    </w:p>
    <w:p w:rsidR="00EB524C" w:rsidRPr="007D6282" w:rsidRDefault="00EA2779" w:rsidP="007D6282">
      <w:pPr>
        <w:pStyle w:val="Heading1"/>
        <w:numPr>
          <w:ilvl w:val="0"/>
          <w:numId w:val="22"/>
        </w:numPr>
        <w:spacing w:before="0"/>
        <w:ind w:left="567" w:hanging="567"/>
        <w:rPr>
          <w:rFonts w:ascii="Times New Roman" w:hAnsi="Times New Roman"/>
          <w:b/>
          <w:color w:val="auto"/>
          <w:sz w:val="24"/>
        </w:rPr>
      </w:pPr>
      <w:r>
        <w:rPr>
          <w:rFonts w:ascii="Times New Roman" w:hAnsi="Times New Roman"/>
          <w:b/>
          <w:color w:val="auto"/>
          <w:sz w:val="24"/>
        </w:rPr>
        <w:t>Βασικά θέματα για στενότερη συνεργασία μεταξύ της ΕτΠ και της ΓΔ EMPL</w:t>
      </w:r>
    </w:p>
    <w:p w:rsidR="004D765D" w:rsidRPr="003814FB" w:rsidRDefault="004D765D" w:rsidP="007D6282">
      <w:pPr>
        <w:keepNext/>
        <w:rPr>
          <w:lang w:val="en-GB"/>
        </w:rPr>
      </w:pPr>
    </w:p>
    <w:p w:rsidR="00964812" w:rsidRPr="007D6282" w:rsidRDefault="008E118B">
      <w:r>
        <w:t>Με δεδομένο το ευρύ φάσμα των θεμάτων που συνδέονται με την κοινωνική διάσταση και με συνυπολογισμό των διαθέσιμων πόρων, είναι σημαντικό η ενισχυμένη συνεργασία να επικεντρωθεί σε τομείς όπου η ΕτΠ μπορεί να παράσχει σαφή προστιθέμενη αξία, και όπου η εδαφική διάσταση είναι ισχυρότερη. Ενώ δεν αποκλείεται η συνεργασία σε άλλους τομείς, ιδίως όσον αφορά την προώθηση της κοινωνικής οικονομίας, οι τομείς της ενισχυμένης συνεργασίας είναι, συνεπώς, οι ακόλουθοι:</w:t>
      </w:r>
    </w:p>
    <w:p w:rsidR="003D208F" w:rsidRPr="007D6282" w:rsidRDefault="003D208F">
      <w:pPr>
        <w:rPr>
          <w:lang w:val="en-GB"/>
        </w:rPr>
      </w:pPr>
    </w:p>
    <w:p w:rsidR="00EA2779" w:rsidRPr="007D6282" w:rsidRDefault="00EA2779" w:rsidP="007D6282">
      <w:pPr>
        <w:pStyle w:val="Heading2"/>
        <w:rPr>
          <w:rFonts w:asciiTheme="majorHAnsi" w:hAnsiTheme="majorHAnsi"/>
          <w:color w:val="365F91" w:themeColor="accent1" w:themeShade="BF"/>
        </w:rPr>
      </w:pPr>
      <w:r>
        <w:rPr>
          <w:rFonts w:ascii="Times New Roman" w:hAnsi="Times New Roman"/>
          <w:b/>
          <w:sz w:val="24"/>
          <w:szCs w:val="24"/>
        </w:rPr>
        <w:t>2.1.</w:t>
      </w:r>
      <w:r>
        <w:tab/>
      </w:r>
      <w:r>
        <w:rPr>
          <w:rFonts w:ascii="Times New Roman" w:hAnsi="Times New Roman"/>
          <w:b/>
          <w:sz w:val="24"/>
          <w:szCs w:val="32"/>
        </w:rPr>
        <w:t>Ο ευρωπαϊκός πυλώνας κοινωνικών δικαιωμάτων</w:t>
      </w:r>
    </w:p>
    <w:p w:rsidR="00EA2779" w:rsidRPr="007D6282" w:rsidRDefault="00EA2779" w:rsidP="007D6282">
      <w:pPr>
        <w:rPr>
          <w:b/>
          <w:u w:val="single"/>
          <w:lang w:val="en-GB"/>
        </w:rPr>
      </w:pPr>
    </w:p>
    <w:p w:rsidR="005366D6" w:rsidRPr="007D6282" w:rsidRDefault="005366D6" w:rsidP="007D6282">
      <w:pPr>
        <w:rPr>
          <w:szCs w:val="24"/>
        </w:rPr>
      </w:pPr>
      <w:r>
        <w:t>Ο ευρωπαϊκός πυλώνας κοινωνικών δικαιωμάτων είναι ένα συναινετικό έγγραφο που αντικατοπτρίζει το τι αντιπροσωπεύει η Ένωση στον τομέα της απασχόλησης και των κοινωνικών υποθέσεων.</w:t>
      </w:r>
      <w:r>
        <w:rPr>
          <w:i/>
          <w:szCs w:val="24"/>
        </w:rPr>
        <w:t xml:space="preserve"> </w:t>
      </w:r>
      <w:r>
        <w:t>Διακηρύχθηκε στο υψηλότερο πολιτικό επίπεδο και έχει ήδη οδηγήσει σε εκτενή μέτρα σε ενωσιακό, εθνικό, περιφερειακό και τοπικό επίπεδο, ενισχύοντας την κοινωνική διάσταση της ΕΕ. Με την ανακοίνωσή της τής 27ης Μαΐου 2020, η Επιτροπή έθεσε επίσης τον ευρωπαϊκό πυλώνα κοινωνικών δικαιωμάτων στο επίκεντρο του χάρτη πορείας της για μια δίκαιη και χωρίς αποκλεισμούς ανάκαμψη από την κρίση που προκάλεσε η νόσος COVID-19.</w:t>
      </w:r>
    </w:p>
    <w:p w:rsidR="005366D6" w:rsidRPr="007D6282" w:rsidRDefault="005366D6">
      <w:pPr>
        <w:rPr>
          <w:szCs w:val="24"/>
          <w:lang w:val="en-GB" w:eastAsia="fr-BE"/>
        </w:rPr>
      </w:pPr>
    </w:p>
    <w:p w:rsidR="005366D6" w:rsidRPr="007D6282" w:rsidRDefault="005366D6">
      <w:pPr>
        <w:rPr>
          <w:szCs w:val="24"/>
        </w:rPr>
      </w:pPr>
      <w:r>
        <w:t xml:space="preserve">Το στρατηγικό θεματολόγιο για την περίοδο 2019-2024, που συμφωνήθηκε από το Ευρωπαϊκό Συμβούλιο τον Ιούνιο του 2019, ζητεί την εφαρμογή του πυλώνα σε επίπεδο ΕΕ και κρατών μελών, με τον δέοντα συνυπολογισμό των αντίστοιχων αρμοδιοτήτων. </w:t>
      </w:r>
    </w:p>
    <w:p w:rsidR="003D208F" w:rsidRPr="007D6282" w:rsidRDefault="003D208F">
      <w:pPr>
        <w:rPr>
          <w:szCs w:val="24"/>
          <w:lang w:val="en-GB" w:eastAsia="en-GB"/>
        </w:rPr>
      </w:pPr>
    </w:p>
    <w:p w:rsidR="005366D6" w:rsidRPr="007D6282" w:rsidRDefault="005366D6">
      <w:pPr>
        <w:rPr>
          <w:szCs w:val="24"/>
        </w:rPr>
      </w:pPr>
      <w:r>
        <w:t>Στις πολιτικές κατευθυντήριες γραμμές της Προέδρου κ. von der Leyen για την Επιτροπή υπάρχει η δέσμευση για την υποβολή σχεδίου δράσης για την πλήρη εφαρμογή του ευρωπαϊκού πυλώνα κοινωνικών δικαιωμάτων. Στην ανακοίνωση της Επιτροπής, της 14ης Ιανουαρίου 2020, με θέμα «Μια ισχυρή Ευρώπη για δίκαιες μεταβάσεις», προτείνονται ορισμένες καίριες δράσεις για το 2020 και το 2021 και δρομολογείται μια ευρεία διαδικασία διαβούλευσης και συμμετοχής που θα τροφοδοτήσει τις προετοιμασίες για το σχέδιο δράσης. Η ανάγκη για κοινωνική υποστήριξη και προστασία είναι ακόμη πιο επιτακτική κατά τη διάρκεια της συνεχιζόμενης πανδημίας COVID-19, καθώς τα συστήματα κοινωνικής υποστήριξης των κρατών μελών υφίστανται τεράστια πίεση και ο κοινωνικός ιστός της ΕΕ κινδυνεύει να καταρρεύσει.</w:t>
      </w:r>
    </w:p>
    <w:p w:rsidR="005366D6" w:rsidRPr="007D6282" w:rsidRDefault="005366D6">
      <w:pPr>
        <w:rPr>
          <w:szCs w:val="24"/>
          <w:lang w:val="en-GB" w:eastAsia="en-GB"/>
        </w:rPr>
      </w:pPr>
    </w:p>
    <w:p w:rsidR="005366D6" w:rsidRPr="007D6282" w:rsidRDefault="005366D6">
      <w:pPr>
        <w:autoSpaceDE w:val="0"/>
        <w:autoSpaceDN w:val="0"/>
        <w:adjustRightInd w:val="0"/>
        <w:rPr>
          <w:szCs w:val="24"/>
        </w:rPr>
      </w:pPr>
      <w:r>
        <w:t xml:space="preserve">Στόχος της Επιτροπής είναι να παρουσιάσει το σχέδιο δράσης στις αρχές του 2021 και να επιδιώξει την έγκρισή του στο υψηλότερο πολιτικό επίπεδο κατά την κοινωνική διάσκεψη κορυφής που θα διοργανωθεί από την πορτογαλική Προεδρία του Συμβουλίου τον Μάιο του 2021. </w:t>
      </w:r>
    </w:p>
    <w:p w:rsidR="00CE0C02" w:rsidRPr="007D6282" w:rsidRDefault="00CE0C02">
      <w:pPr>
        <w:rPr>
          <w:bCs/>
          <w:u w:val="single"/>
          <w:lang w:val="en-GB"/>
        </w:rPr>
      </w:pPr>
    </w:p>
    <w:p w:rsidR="00EA2779" w:rsidRPr="007D6282" w:rsidRDefault="00B40809" w:rsidP="007D6282">
      <w:pPr>
        <w:rPr>
          <w:bCs/>
        </w:rPr>
      </w:pPr>
      <w:r>
        <w:t>Είναι προφανές ότι οι τοπικές και οι περιφερειακές αρχές (ΤΠΑ) διαδραματίζουν σημαντικό ρόλο στον σχεδιασμό και την εφαρμογή της πολιτικής απασχόλησης και της κοινωνικής πολιτικής στην ΕΕ. Οι διάφορες περιφέρειες επηρεάστηκαν με πολύ διαφορετικούς τρόπους από την κρίση COVID-19, ανάλογα με την οικονομική τους διάρθρωση και την έκθεσή τους σε κίνδυνο όσον αφορά την ανθρώπινη υγεία. Οι ΤΠΑ μπορούν να συμβάλουν στην ανάπτυξη και την υλοποίηση μιας απάντησης στην κρίση που θα αντιμετωπίζει τις προκλήσεις πριν και μετά την κρίση όσον αφορά την κοινωνική και εδαφική συνοχή Συνεπώς, είναι αναγκαία η συμμετοχή των ΤΠΑ, ιδίως μέσω:</w:t>
      </w:r>
    </w:p>
    <w:p w:rsidR="00CB78E1" w:rsidRPr="007D6282" w:rsidRDefault="00CB78E1" w:rsidP="007D6282">
      <w:pPr>
        <w:rPr>
          <w:bCs/>
          <w:u w:val="single"/>
          <w:lang w:val="en-GB"/>
        </w:rPr>
      </w:pPr>
    </w:p>
    <w:p w:rsidR="00CB78E1" w:rsidRPr="007D6282" w:rsidRDefault="00F771E0" w:rsidP="007D6282">
      <w:pPr>
        <w:pStyle w:val="ListParagraph"/>
        <w:numPr>
          <w:ilvl w:val="0"/>
          <w:numId w:val="19"/>
        </w:numPr>
        <w:spacing w:after="0" w:line="288" w:lineRule="auto"/>
        <w:ind w:left="360"/>
        <w:jc w:val="both"/>
      </w:pPr>
      <w:r>
        <w:rPr>
          <w:rFonts w:ascii="Times New Roman" w:hAnsi="Times New Roman"/>
        </w:rPr>
        <w:t>της γνωμοδότησης της ΕτΠ με θέμα «Μια ισχυρή κοινωνική Ευρώπη για δίκαιες μεταβάσεις» (εισηγήτρια: Anne Karjalainen (FI/PES), που εγκρίθηκε στη σύνοδο ολομέλειας του Οκτωβρίου 2020), η οποία αποτελεί τη συνολική απάντηση της ΕτΠ στην ανακοίνωση της Επιτροπής·</w:t>
      </w:r>
    </w:p>
    <w:p w:rsidR="00421A56" w:rsidRPr="007D6282" w:rsidRDefault="00421A56" w:rsidP="007D6282">
      <w:pPr>
        <w:pStyle w:val="ListParagraph"/>
        <w:spacing w:after="0" w:line="288" w:lineRule="auto"/>
        <w:ind w:left="360"/>
        <w:jc w:val="both"/>
        <w:rPr>
          <w:bCs/>
        </w:rPr>
      </w:pPr>
    </w:p>
    <w:p w:rsidR="00176CAE" w:rsidRPr="007D6282" w:rsidRDefault="00176CAE" w:rsidP="007D6282">
      <w:pPr>
        <w:pStyle w:val="ListParagraph"/>
        <w:numPr>
          <w:ilvl w:val="0"/>
          <w:numId w:val="19"/>
        </w:numPr>
        <w:spacing w:after="0" w:line="288" w:lineRule="auto"/>
        <w:ind w:left="360"/>
        <w:jc w:val="both"/>
      </w:pPr>
      <w:r>
        <w:rPr>
          <w:rFonts w:ascii="Times New Roman" w:hAnsi="Times New Roman"/>
        </w:rPr>
        <w:t>της γνωμοδότησης της ΕτΠ σχετικά με το μελλοντικό σχέδιο για το προσωπικό περίθαλψης και φροντίδας – τοπικές και οι περιφερειακές ευκαιρίες για μια ευρωπαϊκή πρόκληση (εισηγητής/εισηγήτρια: προς επιβεβαίωση)·</w:t>
      </w:r>
    </w:p>
    <w:p w:rsidR="00E136C4" w:rsidRPr="007D6282" w:rsidRDefault="00E136C4" w:rsidP="007D6282">
      <w:pPr>
        <w:pStyle w:val="ListParagraph"/>
        <w:spacing w:after="0" w:line="288" w:lineRule="auto"/>
        <w:ind w:left="360"/>
        <w:jc w:val="both"/>
      </w:pPr>
    </w:p>
    <w:p w:rsidR="00F771E0" w:rsidRPr="007D6282" w:rsidRDefault="00421A56" w:rsidP="007D6282">
      <w:pPr>
        <w:pStyle w:val="ListParagraph"/>
        <w:numPr>
          <w:ilvl w:val="0"/>
          <w:numId w:val="19"/>
        </w:numPr>
        <w:spacing w:after="0" w:line="288" w:lineRule="auto"/>
        <w:ind w:left="360"/>
        <w:jc w:val="both"/>
      </w:pPr>
      <w:r>
        <w:rPr>
          <w:rFonts w:ascii="Times New Roman" w:hAnsi="Times New Roman"/>
        </w:rPr>
        <w:t>της συνεδρίασης στο πλαίσιο της ευρωπαϊκής εβδομάδας των δήμων και των περιφερειών (EWRC)</w:t>
      </w:r>
      <w:r>
        <w:rPr>
          <w:rFonts w:ascii="Times New Roman" w:hAnsi="Times New Roman"/>
          <w:color w:val="000000"/>
        </w:rPr>
        <w:t xml:space="preserve"> 2020 με θέμα «Κοινωνική ασφάλιση των εργαζομένων σε πλατφόρμες – προκλήσεις και ευκαιρίες», με τη συμμετοχή της ΓΔ EMPL·</w:t>
      </w:r>
    </w:p>
    <w:p w:rsidR="00267B85" w:rsidRPr="007D6282" w:rsidRDefault="00267B85" w:rsidP="007D6282">
      <w:pPr>
        <w:pStyle w:val="ListParagraph"/>
        <w:spacing w:after="0" w:line="288" w:lineRule="auto"/>
        <w:ind w:left="360"/>
        <w:jc w:val="both"/>
      </w:pPr>
    </w:p>
    <w:p w:rsidR="00512960" w:rsidRPr="007D6282" w:rsidRDefault="00F5129F" w:rsidP="007D6282">
      <w:pPr>
        <w:pStyle w:val="ListParagraph"/>
        <w:numPr>
          <w:ilvl w:val="0"/>
          <w:numId w:val="19"/>
        </w:numPr>
        <w:spacing w:after="0" w:line="288" w:lineRule="auto"/>
        <w:ind w:left="360"/>
        <w:jc w:val="both"/>
        <w:rPr>
          <w:b/>
          <w:u w:val="single"/>
        </w:rPr>
      </w:pPr>
      <w:r>
        <w:rPr>
          <w:rFonts w:ascii="Times New Roman" w:hAnsi="Times New Roman"/>
        </w:rPr>
        <w:t>από κοινού με την πορτογαλική Προεδρία του Συμβουλίου, η Επιτροπή και η ΕτΠ θα διερευνήσουν τρόπους για να παραστεί η ΕτΠ στην κοινωνική διάσκεψη κορυφής, ώστε να αντικατοπτριστεί η εδαφική διάσταση της εφαρμογής του ευρωπαϊκού πυλώνα κοινωνικών δικαιωμάτων.</w:t>
      </w:r>
    </w:p>
    <w:p w:rsidR="00151730" w:rsidRPr="007D6282" w:rsidRDefault="00151730" w:rsidP="007D6282">
      <w:pPr>
        <w:rPr>
          <w:lang w:val="en-GB"/>
        </w:rPr>
      </w:pPr>
    </w:p>
    <w:p w:rsidR="00EA2779" w:rsidRPr="007D6282" w:rsidRDefault="00EA2779" w:rsidP="007D6282">
      <w:pPr>
        <w:pStyle w:val="Heading2"/>
        <w:ind w:left="426" w:hanging="426"/>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lastRenderedPageBreak/>
        <w:t>2.2.</w:t>
      </w:r>
      <w:r>
        <w:rPr>
          <w:rFonts w:ascii="Times New Roman" w:hAnsi="Times New Roman"/>
          <w:b/>
          <w:sz w:val="24"/>
          <w:szCs w:val="24"/>
        </w:rPr>
        <w:tab/>
      </w:r>
      <w:r>
        <w:rPr>
          <w:rFonts w:ascii="Times New Roman" w:hAnsi="Times New Roman"/>
          <w:b/>
          <w:sz w:val="24"/>
          <w:szCs w:val="32"/>
        </w:rPr>
        <w:t>Προετοιμασία του Ευρωπαϊκού Κοινωνικού Ταμείου+ (ΕΚΤ+) και του μέσου REACT-EU για την παροχή επαρκούς χρηματοδότησης για μέτρα για την απασχόληση των νέων</w:t>
      </w:r>
    </w:p>
    <w:p w:rsidR="00527019" w:rsidRPr="007D6282" w:rsidRDefault="00527019">
      <w:pPr>
        <w:keepNext/>
        <w:rPr>
          <w:lang w:val="en-GB"/>
        </w:rPr>
      </w:pPr>
    </w:p>
    <w:p w:rsidR="00527019" w:rsidRPr="007D6282" w:rsidRDefault="00527019" w:rsidP="007D6282">
      <w:pPr>
        <w:rPr>
          <w:bCs/>
        </w:rPr>
      </w:pPr>
      <w:r>
        <w:t>Πολλές ΤΠΑ συμμετέχουν επί του παρόντος ενεργά στην προετοιμασία των μελλοντικών προγραμμάτων του ΕΚΤ+ και στην ανάπτυξη σχεδίων, προκειμένου να ωφεληθούν από τη χρηματοδότηση του ΕΚΤ+. Με το ΕΚΤ+, η Επιτροπή πρότεινε την ενίσχυση της χρηματοδότησης για μέτρα για την απασχόληση των νέων στα κράτη μέλη στα οποία το ποσοστό των νέων που βρίσκονται εκτός απασχόλησης, εκπαίδευσης ή κατάρτισης υπερβαίνει τον μέσο όρο της ΕΕ</w:t>
      </w:r>
      <w:r w:rsidR="006E25E8" w:rsidRPr="007D6282">
        <w:rPr>
          <w:rStyle w:val="FootnoteReference"/>
          <w:bCs/>
          <w:sz w:val="24"/>
          <w:szCs w:val="24"/>
          <w:lang w:val="en-GB"/>
        </w:rPr>
        <w:footnoteReference w:id="4"/>
      </w:r>
      <w:r>
        <w:t>. Επιπλέον, το νέο μέσο REACT-EU μπορεί να στηρίξει μέτρα για την απασχόληση των νέων. Η ανάγκη να αποκομισθούν όλα τα οφέλη αυτής της πρόσθετης στήριξης είναι ουσιαστικής σημασίας, υπό το πρίσμα της τρέχουσας πανδημίας και των επιπτώσεων που πιθανώς να έχει στην απασχόληση των νέων.</w:t>
      </w:r>
    </w:p>
    <w:p w:rsidR="00CB78E1" w:rsidRPr="007D6282" w:rsidRDefault="00CB78E1">
      <w:pPr>
        <w:rPr>
          <w:bCs/>
          <w:u w:val="single"/>
          <w:lang w:val="en-GB"/>
        </w:rPr>
      </w:pPr>
    </w:p>
    <w:p w:rsidR="00AE28C2" w:rsidRPr="007D6282" w:rsidRDefault="00F52BD7">
      <w:pPr>
        <w:rPr>
          <w:bCs/>
        </w:rPr>
      </w:pPr>
      <w:r>
        <w:t>Η ΕτΠ θα μπορούσε να διευκολύνει την ανταλλαγή πληροφοριών και βέλτιστων πρακτικών όσον αφορά την παρεχόμενη από το μέσο REACT-EU και το ΕΚΤ+ χρηματοδότηση για τη στήριξη μέτρων για την απασχόληση των νέων. Αυτή η χρηματοδοτική βοήθεια θα συμβάλει στην επίτευξη του συνολικού στόχου της ΕΕ να αφιερώσει τουλάχιστον 22 δισ. ευρώ σε αυτόν τον στόχο</w:t>
      </w:r>
      <w:r w:rsidR="008911F1" w:rsidRPr="007D6282">
        <w:rPr>
          <w:rStyle w:val="FootnoteReference"/>
          <w:bCs/>
          <w:sz w:val="24"/>
          <w:szCs w:val="24"/>
          <w:lang w:val="en-GB"/>
        </w:rPr>
        <w:footnoteReference w:id="5"/>
      </w:r>
      <w:r>
        <w:t xml:space="preserve"> και θα αποτελέσει το χρηματοδοτικό στοιχείο των ενισχυμένων Εγγυήσεων για τη Νεολαία</w:t>
      </w:r>
      <w:r w:rsidR="008911F1" w:rsidRPr="007D6282">
        <w:rPr>
          <w:rStyle w:val="FootnoteReference"/>
          <w:bCs/>
          <w:sz w:val="24"/>
          <w:szCs w:val="24"/>
          <w:lang w:val="en-GB"/>
        </w:rPr>
        <w:footnoteReference w:id="6"/>
      </w:r>
      <w:r>
        <w:t xml:space="preserve">. </w:t>
      </w:r>
    </w:p>
    <w:p w:rsidR="00AE28C2" w:rsidRPr="007D6282" w:rsidRDefault="00AE28C2">
      <w:pPr>
        <w:rPr>
          <w:bCs/>
          <w:u w:val="single"/>
          <w:lang w:val="en-GB"/>
        </w:rPr>
      </w:pPr>
    </w:p>
    <w:p w:rsidR="006106B7" w:rsidRPr="007D6282" w:rsidRDefault="002867F1">
      <w:pPr>
        <w:rPr>
          <w:bCs/>
        </w:rPr>
      </w:pPr>
      <w:r>
        <w:t xml:space="preserve">Στο πνεύμα της αρχής της εταιρικής σχέσης, η ΕτΠ θα μπορούσε να προωθήσει τον διάλογο μεταξύ των ΤΠΑ με στόχο την ανάπτυξη εννοιών για την καταπολέμηση της ανεργίας των νέων σε στενή συνεργασία με τους κοινωνικούς εταίρους, και να αναδειχθεί σε πλατφόρμα ανταλλαγής ιδεών και πολιτικών μεταξύ περιφερειών και πόλεων. </w:t>
      </w:r>
    </w:p>
    <w:p w:rsidR="006106B7" w:rsidRPr="007D6282" w:rsidRDefault="006106B7">
      <w:pPr>
        <w:rPr>
          <w:bCs/>
          <w:lang w:val="en-GB"/>
        </w:rPr>
      </w:pPr>
    </w:p>
    <w:p w:rsidR="00527019" w:rsidRPr="003814FB" w:rsidRDefault="006106B7">
      <w:r>
        <w:t xml:space="preserve">Με τον τρόπο αυτόν, η ΕτΠ μπορεί να δώσει ουσιαστική συνέχεια στην </w:t>
      </w:r>
      <w:r>
        <w:rPr>
          <w:color w:val="000000"/>
        </w:rPr>
        <w:t xml:space="preserve">ανακοίνωση της Επιτροπής με θέμα </w:t>
      </w:r>
      <w:r>
        <w:t>«Στήριξη της απασχόλησης των νέων: Γέφυρα προς την απασχόληση για την επόμενη γενιά»</w:t>
      </w:r>
      <w:r w:rsidR="00150CCB" w:rsidRPr="007D6282">
        <w:rPr>
          <w:rStyle w:val="FootnoteReference"/>
          <w:sz w:val="24"/>
          <w:szCs w:val="24"/>
          <w:lang w:val="en-GB"/>
        </w:rPr>
        <w:footnoteReference w:id="7"/>
      </w:r>
      <w:r>
        <w:t xml:space="preserve">, ενώ μπορούν να πραγματοποιηθούν περαιτέρω συναντήσεις μεταξύ της ΓΔ EMPL και της ΕτΠ. </w:t>
      </w:r>
    </w:p>
    <w:p w:rsidR="00F165DD" w:rsidRPr="007D6282" w:rsidRDefault="00F165DD">
      <w:pPr>
        <w:rPr>
          <w:bCs/>
          <w:lang w:val="en-GB"/>
        </w:rPr>
      </w:pPr>
    </w:p>
    <w:p w:rsidR="00CB78E1" w:rsidRPr="007D6282" w:rsidRDefault="00CB78E1" w:rsidP="007D6282">
      <w:pPr>
        <w:pStyle w:val="Heading2"/>
        <w:ind w:left="567" w:hanging="567"/>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lastRenderedPageBreak/>
        <w:t xml:space="preserve">2.3. </w:t>
      </w:r>
      <w:r>
        <w:rPr>
          <w:rFonts w:ascii="Times New Roman" w:hAnsi="Times New Roman"/>
          <w:b/>
          <w:sz w:val="24"/>
          <w:szCs w:val="24"/>
        </w:rPr>
        <w:tab/>
      </w:r>
      <w:r>
        <w:rPr>
          <w:rFonts w:ascii="Times New Roman" w:hAnsi="Times New Roman"/>
          <w:b/>
          <w:sz w:val="24"/>
          <w:szCs w:val="32"/>
        </w:rPr>
        <w:t xml:space="preserve">Θεματολόγιο δεξιοτήτων </w:t>
      </w:r>
    </w:p>
    <w:p w:rsidR="006106B7" w:rsidRPr="007D6282" w:rsidRDefault="006106B7" w:rsidP="007D6282">
      <w:pPr>
        <w:keepNext/>
        <w:rPr>
          <w:rFonts w:eastAsiaTheme="majorEastAsia"/>
          <w:lang w:val="en-GB"/>
        </w:rPr>
      </w:pPr>
    </w:p>
    <w:p w:rsidR="006106B7" w:rsidRPr="007D6282" w:rsidRDefault="00EE2DE9" w:rsidP="007D6282">
      <w:r>
        <w:t>Οι επιπτώσεις της πανδημίας στον τρόπο εργασίας μας και η διττή μετάβαση σε μια ψηφιακή και πράσινη οικονομία μεταβάλλουν έντονα το πρότυπο για τις δεξιότητες στην ΕΕ. Επομένως, είναι σημαντικό να προωθηθεί και να συνδεθεί η τοπική προοπτική για τις δεξιότητες, όπως διατυπώνεται στο πρόσφατο έγγραφο με θέμα «Ευρωπαϊκό Θεματολόγιο δεξιοτήτων για βιώσιμη ανταγωνιστικότητα, κοινωνική δικαιοσύνη και ανθεκτικότητα»</w:t>
      </w:r>
      <w:r w:rsidR="002867F1" w:rsidRPr="007D6282">
        <w:rPr>
          <w:rStyle w:val="FootnoteReference"/>
          <w:bCs/>
          <w:sz w:val="24"/>
          <w:szCs w:val="24"/>
          <w:lang w:val="en-GB"/>
        </w:rPr>
        <w:footnoteReference w:id="8"/>
      </w:r>
      <w:r>
        <w:t>. Η εργασία σε τοπικό επίπεδο μπορεί να μεγιστοποιήσει τη συμμετοχή των τοπικών εταίρων, όπως οι ΜΜΕ, ενώ παράλληλα θα κατανοηθούν καλύτερα οι ανάγκες της τοπικής αγοράς εργασίας και θα διερευνηθούν οι συνέργειες με άλλες τοπικές και περιφερειακές στρατηγικές. Επιπλέον, η τοπική και η περιφερειακή προοπτική θα μπορούσε να συμβάλει στη δημιουργία ποιοτικών προγνώσεων και ποσοτικών προβλέψεων για τις δεξιότητες, οι οποίες με τη σειρά τους μπορούν να εξελιχθούν σε ένα μοντέλο ή μια μέθοδο πρόβλεψης των αναγκών σε δεξιότητες που μπορεί να χρησιμοποιηθεί για τον μελλοντικό σχεδιασμό ή τη χάραξη πολιτικής.</w:t>
      </w:r>
    </w:p>
    <w:p w:rsidR="006106B7" w:rsidRPr="007D6282" w:rsidRDefault="006106B7">
      <w:pPr>
        <w:rPr>
          <w:bCs/>
          <w:lang w:val="en-GB"/>
        </w:rPr>
      </w:pPr>
    </w:p>
    <w:p w:rsidR="00421A56" w:rsidRPr="007D6282" w:rsidRDefault="00150CCB" w:rsidP="007D6282">
      <w:pPr>
        <w:rPr>
          <w:bCs/>
        </w:rPr>
      </w:pPr>
      <w:r>
        <w:t>Περαιτέρω συνεργασία μπορεί να επιτευχθεί με τις ακόλουθες δράσεις:</w:t>
      </w:r>
    </w:p>
    <w:p w:rsidR="000A7400" w:rsidRPr="007D6282" w:rsidRDefault="000A7400" w:rsidP="007D6282">
      <w:pPr>
        <w:pStyle w:val="ListParagraph"/>
        <w:spacing w:after="0" w:line="288" w:lineRule="auto"/>
        <w:ind w:left="360"/>
        <w:jc w:val="both"/>
        <w:rPr>
          <w:rStyle w:val="normaltextrun"/>
        </w:rPr>
      </w:pPr>
    </w:p>
    <w:p w:rsidR="000A7400" w:rsidRPr="007D6282" w:rsidRDefault="00151730" w:rsidP="007D6282">
      <w:pPr>
        <w:pStyle w:val="ListParagraph"/>
        <w:numPr>
          <w:ilvl w:val="0"/>
          <w:numId w:val="32"/>
        </w:numPr>
        <w:spacing w:after="0" w:line="288" w:lineRule="auto"/>
        <w:jc w:val="both"/>
        <w:rPr>
          <w:rStyle w:val="normaltextrun"/>
        </w:rPr>
      </w:pPr>
      <w:r>
        <w:rPr>
          <w:rStyle w:val="normaltextrun"/>
        </w:rPr>
        <w:t>από κοινού προώθηση του συμφώνου για τις δεξιότητες, ως τρόπου με τον οποίο οι περιφέρειες μπορούν να δημιουργήσουν εταιρικές σχέσεις με τη βιομηχανία και τους φορείς παροχής κατάρτισης για την αναβάθμιση των δεξιοτήτων και την επανειδίκευση του τοπικού πληθυσμού·</w:t>
      </w:r>
    </w:p>
    <w:p w:rsidR="000A7400" w:rsidRPr="007D6282" w:rsidRDefault="000A7400" w:rsidP="007D6282">
      <w:pPr>
        <w:pStyle w:val="ListParagraph"/>
        <w:spacing w:after="0" w:line="288" w:lineRule="auto"/>
        <w:ind w:left="360"/>
        <w:jc w:val="both"/>
        <w:rPr>
          <w:rStyle w:val="normaltextrun"/>
        </w:rPr>
      </w:pPr>
    </w:p>
    <w:p w:rsidR="00421A56" w:rsidRPr="007D6282" w:rsidRDefault="000A7400" w:rsidP="007D6282">
      <w:pPr>
        <w:pStyle w:val="ListParagraph"/>
        <w:numPr>
          <w:ilvl w:val="0"/>
          <w:numId w:val="32"/>
        </w:numPr>
        <w:spacing w:after="0" w:line="288" w:lineRule="auto"/>
        <w:jc w:val="both"/>
        <w:rPr>
          <w:rStyle w:val="normaltextrun"/>
        </w:rPr>
      </w:pPr>
      <w:r>
        <w:rPr>
          <w:rStyle w:val="normaltextrun"/>
        </w:rPr>
        <w:t>διάσκεψη υψηλού επιπέδου για τα προγράμματα μαθητείας, που συνδιοργανώνεται με τη ΓΔ EMPL, έχει θέμα «Ο ρόλος των περιφερειών και των πόλεων στην προσφορά προγραμμάτων μαθητείας υψηλής ποιότητας» και έχει προγραμματιστεί για την άνοιξη του 2021, λόγω της νόσου COVID-19, με πρόσθετες διαδικτυακές εκδηλώσεις-χάρτες πορείας που θα κορυφωθούν με την κύρια διάσκεψη:</w:t>
      </w:r>
    </w:p>
    <w:p w:rsidR="000A7400" w:rsidRPr="007D6282" w:rsidRDefault="000A7400">
      <w:pPr>
        <w:rPr>
          <w:rStyle w:val="normaltextrun"/>
          <w:lang w:val="en-GB"/>
        </w:rPr>
      </w:pPr>
    </w:p>
    <w:tbl>
      <w:tblPr>
        <w:tblW w:w="0" w:type="auto"/>
        <w:tblInd w:w="416" w:type="dxa"/>
        <w:tblCellMar>
          <w:left w:w="0" w:type="dxa"/>
          <w:right w:w="0" w:type="dxa"/>
        </w:tblCellMar>
        <w:tblLook w:val="04A0" w:firstRow="1" w:lastRow="0" w:firstColumn="1" w:lastColumn="0" w:noHBand="0" w:noVBand="1"/>
      </w:tblPr>
      <w:tblGrid>
        <w:gridCol w:w="2703"/>
        <w:gridCol w:w="3817"/>
        <w:gridCol w:w="2069"/>
      </w:tblGrid>
      <w:tr w:rsidR="00E93687">
        <w:tc>
          <w:tcPr>
            <w:tcW w:w="2703" w:type="dxa"/>
            <w:tcBorders>
              <w:top w:val="single" w:sz="8" w:space="0" w:color="auto"/>
              <w:left w:val="single" w:sz="8" w:space="0" w:color="auto"/>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pPr>
              <w:rPr>
                <w:b/>
                <w:bCs/>
                <w:color w:val="FFFFFF"/>
              </w:rPr>
            </w:pPr>
            <w:r>
              <w:rPr>
                <w:b/>
                <w:bCs/>
                <w:color w:val="FFFFFF"/>
              </w:rPr>
              <w:t>Ημερομηνία</w:t>
            </w:r>
          </w:p>
        </w:tc>
        <w:tc>
          <w:tcPr>
            <w:tcW w:w="3817"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pPr>
              <w:rPr>
                <w:rFonts w:ascii="Calibri" w:hAnsi="Calibri" w:cs="Calibri"/>
                <w:b/>
                <w:bCs/>
                <w:color w:val="FFFFFF"/>
              </w:rPr>
            </w:pPr>
            <w:r>
              <w:rPr>
                <w:b/>
                <w:bCs/>
                <w:color w:val="FFFFFF"/>
              </w:rPr>
              <w:t>Διαδικτυακά σεμινάρια/Διάσκεψη</w:t>
            </w:r>
          </w:p>
        </w:tc>
        <w:tc>
          <w:tcPr>
            <w:tcW w:w="2069"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pPr>
              <w:rPr>
                <w:b/>
                <w:bCs/>
                <w:color w:val="FFFFFF"/>
              </w:rPr>
            </w:pPr>
            <w:r>
              <w:rPr>
                <w:b/>
                <w:bCs/>
                <w:color w:val="FFFFFF"/>
              </w:rPr>
              <w:t>Θέμα</w:t>
            </w:r>
          </w:p>
        </w:tc>
      </w:tr>
      <w:tr w:rsidR="00E93687">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Τρίτη, 29 Σεπτεμβρίου 2020</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 xml:space="preserve">1ο διαδικτυακό σεμινάριο: </w:t>
            </w:r>
            <w:r>
              <w:rPr>
                <w:i/>
                <w:iCs/>
              </w:rPr>
              <w:t>Οι επιπτώσεις της νόσου COVID-19 στα προγράμματα μαθητείας. Ο ρόλος των περιφερειών και των πόλεων.</w:t>
            </w:r>
            <w:r>
              <w:t xml:space="preserve"> </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Εστίαση στην απόκριση στη νόσο COVID-19</w:t>
            </w:r>
          </w:p>
        </w:tc>
      </w:tr>
      <w:tr w:rsidR="00E93687">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Ιανουάριος/Φεβρουάριος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 xml:space="preserve">2ο διαδικτυακό σεμινάριο: </w:t>
            </w:r>
            <w:r>
              <w:rPr>
                <w:i/>
                <w:iCs/>
              </w:rPr>
              <w:t>Η διττή μετάβαση: ο ρόλος των πόλεων στην προσφορά προγραμμάτων μαθητείας υψηλής ποιότητας</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Εστίαση στη διττή πράσινη και ψηφιακή μετάβαση</w:t>
            </w:r>
          </w:p>
        </w:tc>
      </w:tr>
      <w:tr w:rsidR="00E93687">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lastRenderedPageBreak/>
              <w:t>Μάρτιος/Απρίλιος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 xml:space="preserve">3ο διαδικτυακό σεμινάριο: </w:t>
            </w:r>
            <w:r>
              <w:rPr>
                <w:i/>
                <w:iCs/>
              </w:rPr>
              <w:t>Η διττή μετάβαση: ο ρόλος των περιφερειών στην προσφορά προγραμμάτων μαθητείας υψηλής ποιότητας</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 xml:space="preserve">Εστίαση στη διττή πράσινη και ψηφιακή μετάβαση </w:t>
            </w:r>
          </w:p>
        </w:tc>
      </w:tr>
      <w:tr w:rsidR="00E93687">
        <w:tc>
          <w:tcPr>
            <w:tcW w:w="2703"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
              <w:t>3-4 Ιουνίου 2021 (προς επιβεβαίωση)</w:t>
            </w:r>
          </w:p>
        </w:tc>
        <w:tc>
          <w:tcPr>
            <w:tcW w:w="3817"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
              <w:t xml:space="preserve">Κύρια διάσκεψη </w:t>
            </w:r>
          </w:p>
        </w:tc>
        <w:tc>
          <w:tcPr>
            <w:tcW w:w="206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
              <w:t>Προς επιβεβαίωση</w:t>
            </w:r>
          </w:p>
        </w:tc>
      </w:tr>
      <w:tr w:rsidR="00E93687">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Προς επιβεβαίωση</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Συμπληρωματικές διαδικτυακές συνεδριάσεις</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Προς επιβεβαίωση</w:t>
            </w:r>
          </w:p>
        </w:tc>
      </w:tr>
    </w:tbl>
    <w:p w:rsidR="002D435E" w:rsidRPr="007D6282" w:rsidRDefault="002D435E" w:rsidP="007D6282">
      <w:pPr>
        <w:pStyle w:val="ListParagraph"/>
        <w:spacing w:after="0" w:line="288" w:lineRule="auto"/>
        <w:ind w:left="360"/>
        <w:jc w:val="both"/>
        <w:rPr>
          <w:rStyle w:val="normaltextrun"/>
        </w:rPr>
      </w:pPr>
    </w:p>
    <w:p w:rsidR="002D435E" w:rsidRPr="007D6282" w:rsidRDefault="00151730" w:rsidP="007D6282">
      <w:pPr>
        <w:pStyle w:val="ListParagraph"/>
        <w:numPr>
          <w:ilvl w:val="0"/>
          <w:numId w:val="32"/>
        </w:numPr>
        <w:spacing w:after="0" w:line="288" w:lineRule="auto"/>
        <w:jc w:val="both"/>
        <w:rPr>
          <w:rFonts w:ascii="Times New Roman" w:hAnsi="Times New Roman" w:cs="Times New Roman"/>
        </w:rPr>
      </w:pPr>
      <w:r>
        <w:t>περαιτέρω συνεργασία θα αναπτυχθεί στο πλαίσιο της προετοιμασίας της γνωμοδότησης με θέμα «Ευρωπαϊκό Θεματολόγιο δεξιοτήτων για βιώσιμη ανταγωνιστικότητα, κοινωνική δικαιοσύνη και ανθεκτικότητα» (εισηγητής: Csaba Borboly, RO/EPP)·</w:t>
      </w:r>
      <w:r>
        <w:rPr>
          <w:rFonts w:ascii="Times New Roman" w:hAnsi="Times New Roman"/>
        </w:rPr>
        <w:t xml:space="preserve"> </w:t>
      </w:r>
    </w:p>
    <w:p w:rsidR="00F165DD" w:rsidRPr="007D6282" w:rsidRDefault="00F165DD" w:rsidP="007D6282">
      <w:pPr>
        <w:pStyle w:val="ListParagraph"/>
        <w:spacing w:after="0" w:line="288" w:lineRule="auto"/>
        <w:ind w:left="360"/>
        <w:jc w:val="both"/>
      </w:pPr>
    </w:p>
    <w:p w:rsidR="00176CAE" w:rsidRPr="007D6282" w:rsidRDefault="00151730" w:rsidP="007D6282">
      <w:pPr>
        <w:pStyle w:val="ListParagraph"/>
        <w:numPr>
          <w:ilvl w:val="0"/>
          <w:numId w:val="32"/>
        </w:numPr>
        <w:spacing w:after="0" w:line="288" w:lineRule="auto"/>
        <w:jc w:val="both"/>
        <w:rPr>
          <w:rFonts w:ascii="Times New Roman" w:hAnsi="Times New Roman" w:cs="Times New Roman"/>
        </w:rPr>
      </w:pPr>
      <w:r>
        <w:t>συνεργασία με την Ευρωπαϊκή συμμαχία για θέσεις μαθητείας (ΕΣΘΜ).</w:t>
      </w:r>
      <w:r>
        <w:rPr>
          <w:rFonts w:ascii="Times New Roman" w:hAnsi="Times New Roman"/>
        </w:rPr>
        <w:t xml:space="preserve"> Η ΕτΠ και η ΕΣΘΜ θα μπορούσαν να εργαστούν περαιτέρω για μία από τις ανανεωμένες προτεραιότητες της ΕΣΘΜ «Κινητοποιώντας τις τοπικές και τις περιφερειακές αρχές ως καταλύτες για τα προγράμματα μαθητείας εντός του τοπικού επιχειρηματικού περιβάλλοντος». Παράδειγμα αποτελεί η συμμετοχή του νέου δικτύου πόλεων για τα προγράμματα μαθητείας στα κοινά διαδικτυακά σεμινάρια των ΕΣΘΜ/ΕτΠ. Ένας από τους πρωταρχικούς στόχους του δικτύου θα είναι η ενίσχυση της ευαισθητοποίησης σχετικά με τις δυνατότητες που έχουν οι πόλεις να στηρίξουν τα προγράμματα μαθητείας. Σε τελική ανάλυση, μέσω του δικτύου, οι πόλεις θα είναι σε θέση να μαθαίνουν η μία από την άλλη, να συνεργάζονται, να αναπτύσσουν εργαλεία, να ανταλλάσσουν ορθές πρακτικές και να παρέχουν και να λαμβάνουν τεχνική και πολιτική βοήθεια.   </w:t>
      </w:r>
    </w:p>
    <w:p w:rsidR="00C34231" w:rsidRPr="003814FB" w:rsidRDefault="00C34231">
      <w:pPr>
        <w:rPr>
          <w:rFonts w:eastAsiaTheme="majorEastAsia"/>
          <w:lang w:val="en-GB"/>
        </w:rPr>
      </w:pPr>
    </w:p>
    <w:p w:rsidR="003D64D4" w:rsidRPr="007D6282" w:rsidRDefault="00025C0A" w:rsidP="007D6282">
      <w:pPr>
        <w:pStyle w:val="Heading2"/>
        <w:ind w:left="567" w:hanging="567"/>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 xml:space="preserve">2.4. </w:t>
      </w:r>
      <w:r>
        <w:rPr>
          <w:rFonts w:ascii="Times New Roman" w:hAnsi="Times New Roman"/>
          <w:b/>
          <w:sz w:val="24"/>
          <w:szCs w:val="24"/>
        </w:rPr>
        <w:tab/>
      </w:r>
      <w:r>
        <w:rPr>
          <w:rFonts w:ascii="Times New Roman" w:hAnsi="Times New Roman"/>
          <w:b/>
          <w:sz w:val="24"/>
          <w:szCs w:val="32"/>
        </w:rPr>
        <w:t>Η έννοια των υποστηριζόμενων από την ΕΕ «ευρωπαϊκών εκθέσεων ενημέρωσης για τις τοπικές θέσεις εργασίας» με σκοπό τη στήριξη της τοπικής απασχόλησης</w:t>
      </w:r>
    </w:p>
    <w:p w:rsidR="00CE5349" w:rsidRPr="007D6282" w:rsidRDefault="00CE5349">
      <w:pPr>
        <w:keepNext/>
        <w:rPr>
          <w:lang w:val="en-GB"/>
        </w:rPr>
      </w:pPr>
    </w:p>
    <w:p w:rsidR="00CC2877" w:rsidRPr="003814FB" w:rsidRDefault="00394636" w:rsidP="007D6282">
      <w:r>
        <w:t xml:space="preserve">Για να βελτιωθεί η αντιστοίχιση θέσεων εργασίας και δεξιοτήτων, συμφωνήθηκε να εξεταστεί η δυνατότητα συνδιοργάνωσης «ευρωπαϊκών εκθέσεων ενημέρωσης για τις τοπικές θέσεις εργασίας» σε ολόκληρη την Ευρώπη. Η Θεσσαλονίκη ενδέχεται να προσφερθεί να φιλοξενήσει μια τέτοια «ευρωπαϊκή έκθεση ενημέρωσης για τις τοπικές θέσεις εργασίας» το συντομότερο δυνατόν. Μια τέτοια εκδήλωση θα μπορούσε να αποτελέσει πρότυπο για παρόμοιες εκδηλώσεις σε άλλες περιφέρειες της ΕΕ. Η ΕτΠ και η ΓΔ EMPL θα συνεργαστούν για αυτήν την έννοια και την υλοποίησή της, συμπεριλαμβανομένης της σύστασης, των εταίρων, της χρηματοδότησης κ.λπ. που θα συμφωνηθούν χωριστά. </w:t>
      </w:r>
    </w:p>
    <w:p w:rsidR="00FE1A83" w:rsidRPr="003814FB" w:rsidRDefault="00FE1A83" w:rsidP="007D6282">
      <w:pPr>
        <w:rPr>
          <w:lang w:val="en-GB"/>
        </w:rPr>
      </w:pPr>
    </w:p>
    <w:p w:rsidR="00DC5206" w:rsidRPr="007D6282" w:rsidRDefault="00455FAA" w:rsidP="007D6282">
      <w:pPr>
        <w:pStyle w:val="Heading3"/>
        <w:rPr>
          <w:rFonts w:asciiTheme="majorHAnsi" w:hAnsiTheme="majorHAnsi"/>
          <w:color w:val="365F91" w:themeColor="accent1" w:themeShade="BF"/>
        </w:rPr>
      </w:pPr>
      <w:r>
        <w:rPr>
          <w:rFonts w:ascii="Times New Roman" w:hAnsi="Times New Roman"/>
          <w:b/>
          <w:sz w:val="24"/>
          <w:szCs w:val="24"/>
        </w:rPr>
        <w:t>2.4.1.</w:t>
      </w:r>
      <w:r>
        <w:rPr>
          <w:rFonts w:ascii="Times New Roman" w:hAnsi="Times New Roman"/>
          <w:b/>
          <w:sz w:val="24"/>
          <w:szCs w:val="24"/>
        </w:rPr>
        <w:tab/>
        <w:t>Τι υπάρχει ήδη</w:t>
      </w:r>
    </w:p>
    <w:p w:rsidR="00CC2877" w:rsidRPr="003814FB" w:rsidRDefault="00CC2877">
      <w:pPr>
        <w:keepNext/>
        <w:rPr>
          <w:lang w:val="en-GB"/>
        </w:rPr>
      </w:pPr>
    </w:p>
    <w:p w:rsidR="00CC2877" w:rsidRPr="007D6282" w:rsidRDefault="00DF7306" w:rsidP="007D6282">
      <w:pPr>
        <w:pStyle w:val="ListParagraph"/>
        <w:numPr>
          <w:ilvl w:val="0"/>
          <w:numId w:val="35"/>
        </w:numPr>
        <w:spacing w:after="0" w:line="288" w:lineRule="auto"/>
        <w:jc w:val="both"/>
      </w:pPr>
      <w:r>
        <w:rPr>
          <w:rFonts w:ascii="Times New Roman" w:hAnsi="Times New Roman"/>
        </w:rPr>
        <w:t xml:space="preserve">Το δίκτυο των ευρωπαϊκών υπηρεσιών απασχόλησης (EURES) φιλοξενεί ήδη «Ευρωπαϊκές ημέρες απασχόλησης» για την προώθηση της κινητικότητας του εργατικού δυναμικού σε ολόκληρη την ΕΕ, συνδυάζοντας τις δεξιότητες των αιτούντων με τις ανάγκες των εργοδοτών σε </w:t>
      </w:r>
      <w:r>
        <w:rPr>
          <w:rFonts w:ascii="Times New Roman" w:hAnsi="Times New Roman"/>
        </w:rPr>
        <w:lastRenderedPageBreak/>
        <w:t>άλλα κράτη μέλη (η αναπαραγωγή τέτοιων εκδηλώσεων κινητικότητας δεν θα επέφερε προστιθέμενη αξία).</w:t>
      </w:r>
    </w:p>
    <w:p w:rsidR="00CC2877" w:rsidRPr="007D6282" w:rsidRDefault="00CC2877" w:rsidP="007D6282">
      <w:pPr>
        <w:pStyle w:val="ListParagraph"/>
        <w:spacing w:after="0" w:line="288" w:lineRule="auto"/>
        <w:ind w:left="360"/>
        <w:jc w:val="both"/>
      </w:pPr>
    </w:p>
    <w:p w:rsidR="00CC2877" w:rsidRPr="007D6282" w:rsidRDefault="00501E02" w:rsidP="007D6282">
      <w:pPr>
        <w:pStyle w:val="ListParagraph"/>
        <w:numPr>
          <w:ilvl w:val="0"/>
          <w:numId w:val="35"/>
        </w:numPr>
        <w:spacing w:after="0" w:line="288" w:lineRule="auto"/>
        <w:jc w:val="both"/>
      </w:pPr>
      <w:r>
        <w:rPr>
          <w:rFonts w:ascii="Times New Roman" w:hAnsi="Times New Roman"/>
        </w:rPr>
        <w:t>Πολλά σχέδια της ΕΕ αποσκοπούν στην καταπολέμηση της ανεργίας· επιπλέον, υπάρχουν και εθνικά προγράμματα με τον ίδιο στόχο·</w:t>
      </w:r>
    </w:p>
    <w:p w:rsidR="00CC2877" w:rsidRPr="007D6282" w:rsidRDefault="00CC2877" w:rsidP="007D6282">
      <w:pPr>
        <w:pStyle w:val="ListParagraph"/>
        <w:spacing w:after="0" w:line="288" w:lineRule="auto"/>
        <w:ind w:left="360"/>
        <w:jc w:val="both"/>
      </w:pPr>
    </w:p>
    <w:p w:rsidR="00CC2877" w:rsidRPr="007D6282" w:rsidRDefault="002867F1" w:rsidP="007D6282">
      <w:pPr>
        <w:pStyle w:val="ListParagraph"/>
        <w:numPr>
          <w:ilvl w:val="0"/>
          <w:numId w:val="35"/>
        </w:numPr>
        <w:spacing w:after="0" w:line="288" w:lineRule="auto"/>
        <w:jc w:val="both"/>
      </w:pPr>
      <w:r>
        <w:rPr>
          <w:rFonts w:ascii="Times New Roman" w:hAnsi="Times New Roman"/>
        </w:rPr>
        <w:t>Το ΕΚΤ αποτελεί ήδη και το ΕΚΤ+ θα αποτελέσει μελλοντικά το κύριο μέσο για τη χρηματοδότηση των τοπικών στρατηγικών απασχόλησης, καθώς και για την προώθηση της κατάρτισης, της αναβάθμισης των δεξιοτήτων και της επανειδίκευσης·</w:t>
      </w:r>
    </w:p>
    <w:p w:rsidR="00CC2877" w:rsidRPr="007D6282" w:rsidRDefault="00CC2877" w:rsidP="007D6282">
      <w:pPr>
        <w:pStyle w:val="ListParagraph"/>
        <w:spacing w:after="0" w:line="288" w:lineRule="auto"/>
        <w:ind w:left="360"/>
        <w:jc w:val="both"/>
      </w:pPr>
    </w:p>
    <w:p w:rsidR="00CC2877" w:rsidRPr="007D6282" w:rsidRDefault="00DF7306">
      <w:pPr>
        <w:numPr>
          <w:ilvl w:val="0"/>
          <w:numId w:val="35"/>
        </w:numPr>
        <w:rPr>
          <w:rFonts w:eastAsia="Times New Roman"/>
          <w:sz w:val="24"/>
          <w:szCs w:val="24"/>
        </w:rPr>
      </w:pPr>
      <w:r>
        <w:t>Το πρόγραμμα για την απασχόληση και την κοινωνική καινοτομία (EaSI, 2014-2020) έχει τρεις άξονες (τον άξονα Progress για τον εκσυγχρονισμό των υπηρεσιών απασχόλησης και των κοινωνικών υπηρεσιών, τον άξονα EURES για την κινητικότητα του εργατικού δυναμικού και τον άξονα «Μικροχρηματοδότηση και κοινωνική επιχειρηματικότητα», που παρέχει μικροδάνεια και μικροπίστωση σε ευάλωτες ομάδες και επιχειρήσεις και στηρίζει την κοινωνική επιχειρηματικότητα). Το πρόγραμμα InvestEU θα προσφέρει παρόμοιες ευκαιρίες από το 2021 και μετέπειτα.</w:t>
      </w:r>
    </w:p>
    <w:p w:rsidR="00FE1A83" w:rsidRPr="007D6282" w:rsidRDefault="00FE1A83" w:rsidP="007D6282">
      <w:pPr>
        <w:rPr>
          <w:lang w:val="en-GB"/>
        </w:rPr>
      </w:pPr>
    </w:p>
    <w:p w:rsidR="00CC2877" w:rsidRPr="007D6282" w:rsidRDefault="00455FAA" w:rsidP="007D6282">
      <w:pPr>
        <w:pStyle w:val="Heading3"/>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2.4.2.</w:t>
      </w:r>
      <w:r>
        <w:rPr>
          <w:rFonts w:ascii="Times New Roman" w:hAnsi="Times New Roman"/>
          <w:b/>
          <w:sz w:val="24"/>
          <w:szCs w:val="24"/>
        </w:rPr>
        <w:tab/>
      </w:r>
      <w:r>
        <w:rPr>
          <w:rFonts w:ascii="Times New Roman" w:hAnsi="Times New Roman"/>
          <w:b/>
          <w:sz w:val="24"/>
          <w:szCs w:val="32"/>
        </w:rPr>
        <w:t>Η προστιθέμενη αξία των «ευρωπαϊκών εκθέσεων ενημέρωσης για τις τοπικές θέσεις εργασίας»</w:t>
      </w:r>
    </w:p>
    <w:p w:rsidR="00CC2877" w:rsidRPr="007D6282" w:rsidRDefault="00CC2877" w:rsidP="007D6282">
      <w:pPr>
        <w:keepNext/>
        <w:rPr>
          <w:lang w:val="en-GB"/>
        </w:rPr>
      </w:pPr>
    </w:p>
    <w:p w:rsidR="00CC2877" w:rsidRPr="007D6282" w:rsidRDefault="00CC2877" w:rsidP="007D6282">
      <w:pPr>
        <w:pStyle w:val="ListParagraph"/>
        <w:spacing w:after="0" w:line="288" w:lineRule="auto"/>
        <w:ind w:left="0"/>
        <w:jc w:val="both"/>
      </w:pPr>
      <w:r>
        <w:rPr>
          <w:rFonts w:ascii="Times New Roman" w:hAnsi="Times New Roman"/>
        </w:rPr>
        <w:t>Δεδομένων των ήδη υφιστάμενων πρωτοβουλιών της ΕΕ και άλλων πρωτοβουλιών, η ειδική προστιθέμενη αξία μιας «ευρωπαϊκής έκθεσης ενημέρωσης για τις τοπικές θέσεις εργασίας» θα ήταν:</w:t>
      </w:r>
    </w:p>
    <w:p w:rsidR="00100433" w:rsidRPr="007D6282" w:rsidRDefault="00100433" w:rsidP="007D6282">
      <w:pPr>
        <w:pStyle w:val="ListParagraph"/>
        <w:spacing w:after="0" w:line="288" w:lineRule="auto"/>
        <w:ind w:left="0"/>
        <w:jc w:val="both"/>
      </w:pPr>
    </w:p>
    <w:p w:rsidR="00100433" w:rsidRPr="007D6282" w:rsidRDefault="00100433" w:rsidP="007D6282">
      <w:pPr>
        <w:pStyle w:val="ListParagraph"/>
        <w:numPr>
          <w:ilvl w:val="0"/>
          <w:numId w:val="35"/>
        </w:numPr>
        <w:spacing w:after="0" w:line="288" w:lineRule="auto"/>
        <w:jc w:val="both"/>
      </w:pPr>
      <w:r>
        <w:rPr>
          <w:rFonts w:ascii="Times New Roman" w:hAnsi="Times New Roman"/>
        </w:rPr>
        <w:t>να παρουσιάσει τις υφιστάμενες υπηρεσίες της ΕΕ για τα άτομα που αναζητούν εργασία σε τοπικό, εθνικό και ευρωπαϊκό επίπεδο·</w:t>
      </w:r>
    </w:p>
    <w:p w:rsidR="0002399B" w:rsidRPr="007D6282" w:rsidRDefault="0002399B" w:rsidP="007D6282">
      <w:pPr>
        <w:pStyle w:val="ListParagraph"/>
        <w:numPr>
          <w:ilvl w:val="0"/>
          <w:numId w:val="35"/>
        </w:numPr>
        <w:spacing w:after="0" w:line="288" w:lineRule="auto"/>
        <w:jc w:val="both"/>
      </w:pPr>
      <w:r>
        <w:rPr>
          <w:rFonts w:ascii="Times New Roman" w:hAnsi="Times New Roman"/>
        </w:rPr>
        <w:t>να παρουσιάσει τις νέες τάσεις όσον αφορά τις δεξιότητες και την απασχόληση σε τοπικό και ευρωπαϊκό επίπεδο·</w:t>
      </w:r>
    </w:p>
    <w:p w:rsidR="00100433" w:rsidRPr="007D6282" w:rsidRDefault="00100433" w:rsidP="007D6282">
      <w:pPr>
        <w:pStyle w:val="ListParagraph"/>
        <w:numPr>
          <w:ilvl w:val="0"/>
          <w:numId w:val="35"/>
        </w:numPr>
        <w:spacing w:after="0" w:line="288" w:lineRule="auto"/>
        <w:jc w:val="both"/>
      </w:pPr>
      <w:r>
        <w:rPr>
          <w:rFonts w:ascii="Times New Roman" w:hAnsi="Times New Roman"/>
        </w:rPr>
        <w:t>να παρουσιάσει τα συστήματα της ΕΕ για τη στήριξη των τοπικών και των περιφερειακών στρατηγικών για την απασχόληση, ενόψει των εν εξελίξει δραστηριοτήτων προγραμματισμού των μελλοντικών προγραμμάτων του ΕΚΤ·</w:t>
      </w:r>
    </w:p>
    <w:p w:rsidR="00100433" w:rsidRPr="007D6282" w:rsidRDefault="00100433" w:rsidP="007D6282">
      <w:pPr>
        <w:pStyle w:val="ListParagraph"/>
        <w:numPr>
          <w:ilvl w:val="0"/>
          <w:numId w:val="35"/>
        </w:numPr>
        <w:spacing w:after="0" w:line="288" w:lineRule="auto"/>
        <w:jc w:val="both"/>
      </w:pPr>
      <w:r>
        <w:rPr>
          <w:rFonts w:ascii="Times New Roman" w:hAnsi="Times New Roman"/>
        </w:rPr>
        <w:t xml:space="preserve">να καταδείξει τη σχέση μεταξύ των διαφόρων πολιτικών και προγραμμάτων της ΕΕ από τη σκοπιά των νέων· </w:t>
      </w:r>
    </w:p>
    <w:p w:rsidR="00C97045" w:rsidRPr="007D6282" w:rsidRDefault="00100433" w:rsidP="007D6282">
      <w:pPr>
        <w:pStyle w:val="ListParagraph"/>
        <w:numPr>
          <w:ilvl w:val="0"/>
          <w:numId w:val="35"/>
        </w:numPr>
        <w:spacing w:after="0" w:line="288" w:lineRule="auto"/>
        <w:jc w:val="both"/>
      </w:pPr>
      <w:r>
        <w:rPr>
          <w:rFonts w:ascii="Times New Roman" w:hAnsi="Times New Roman"/>
        </w:rPr>
        <w:t>να αποτελέσει τη βάση για διάλογο με τους πολίτες σχετικά με την κοινωνική διάσταση της ΕΕ και τι αυτή σημαίνει για την τοπική και την περιφερειακή απασχόληση· και</w:t>
      </w:r>
    </w:p>
    <w:p w:rsidR="00100433" w:rsidRPr="007D6282" w:rsidRDefault="00C97045" w:rsidP="007D6282">
      <w:pPr>
        <w:pStyle w:val="ListParagraph"/>
        <w:numPr>
          <w:ilvl w:val="0"/>
          <w:numId w:val="35"/>
        </w:numPr>
        <w:spacing w:after="0" w:line="288" w:lineRule="auto"/>
        <w:jc w:val="both"/>
      </w:pPr>
      <w:r>
        <w:rPr>
          <w:rFonts w:ascii="Times New Roman" w:hAnsi="Times New Roman"/>
        </w:rPr>
        <w:t>να στηρίξει την αντιστοίχιση θέσεων εργασίας και δεξιοτήτων σε τοπικό επίπεδο, με τη στήριξη της χρηματοδότησης της ΕΕ για τέτοιες τοπικές εκδηλώσεις.</w:t>
      </w:r>
    </w:p>
    <w:p w:rsidR="00FE1A83" w:rsidRPr="003814FB" w:rsidRDefault="00FE1A83">
      <w:pPr>
        <w:rPr>
          <w:lang w:val="en-GB"/>
        </w:rPr>
      </w:pPr>
    </w:p>
    <w:p w:rsidR="00F165DD" w:rsidRPr="003814FB" w:rsidRDefault="001A2D75">
      <w:r>
        <w:t>Στο σημείο αυτό, είναι σημαντικό να διοργανωθούν τέτοιες εκθέσεις στο πλαίσιο των προσπαθειών ανάκαμψης από την πανδημία COVID-19. Συνεπώς, είναι σημαντικό να ξεκινήσει ένας πολιτικός διάλογος με κορυφαίους εκπροσώπους των κοινωνικών εταίρων, με τη συμμετοχή μελών της ΕτΠ και εκπροσώπων της ΕΕ, σχετικά με τις έννοιες και τις στρατηγικές για την αντιμετώπιση των σημερινών προκλήσεων στον τομέα της απασχόλησης.</w:t>
      </w:r>
    </w:p>
    <w:p w:rsidR="00FE1A83" w:rsidRPr="003814FB" w:rsidRDefault="00FE1A83">
      <w:pPr>
        <w:rPr>
          <w:lang w:val="en-GB"/>
        </w:rPr>
      </w:pPr>
    </w:p>
    <w:p w:rsidR="00100433" w:rsidRPr="007D6282" w:rsidRDefault="00455FAA" w:rsidP="007D6282">
      <w:pPr>
        <w:pStyle w:val="Heading3"/>
        <w:ind w:left="709" w:hanging="709"/>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2.4.3.</w:t>
      </w:r>
      <w:r>
        <w:rPr>
          <w:rFonts w:ascii="Times New Roman" w:hAnsi="Times New Roman"/>
          <w:b/>
          <w:sz w:val="24"/>
          <w:szCs w:val="24"/>
        </w:rPr>
        <w:tab/>
      </w:r>
      <w:r>
        <w:rPr>
          <w:rFonts w:ascii="Times New Roman" w:hAnsi="Times New Roman"/>
          <w:b/>
          <w:sz w:val="24"/>
          <w:szCs w:val="32"/>
        </w:rPr>
        <w:t>Ομάδα-στόχος των «ευρωπαϊκών εκθέσεων ενημέρωσης για τις τοπικές θέσεις εργασίας»</w:t>
      </w:r>
    </w:p>
    <w:p w:rsidR="0002399B" w:rsidRPr="007D6282" w:rsidRDefault="0002399B">
      <w:pPr>
        <w:keepNext/>
        <w:rPr>
          <w:lang w:val="en-GB"/>
        </w:rPr>
      </w:pPr>
    </w:p>
    <w:p w:rsidR="0002399B" w:rsidRPr="007D6282" w:rsidRDefault="0002399B" w:rsidP="007D6282">
      <w:r>
        <w:t>Η ομάδα-στόχος των «ευρωπαϊκών εκθέσεων ενημέρωσης για τις τοπικές θέσεις εργασίας» θα μπορούσε να περιλαμβάνει:</w:t>
      </w:r>
    </w:p>
    <w:p w:rsidR="0002399B" w:rsidRPr="007D6282" w:rsidRDefault="0002399B">
      <w:pPr>
        <w:rPr>
          <w:lang w:val="en-GB"/>
        </w:rPr>
      </w:pPr>
    </w:p>
    <w:p w:rsidR="0002399B" w:rsidRPr="007D6282" w:rsidRDefault="0002399B" w:rsidP="007D6282">
      <w:pPr>
        <w:pStyle w:val="ListParagraph"/>
        <w:numPr>
          <w:ilvl w:val="0"/>
          <w:numId w:val="33"/>
        </w:numPr>
        <w:spacing w:after="0" w:line="288" w:lineRule="auto"/>
        <w:ind w:left="360"/>
      </w:pPr>
      <w:r>
        <w:rPr>
          <w:rFonts w:ascii="Times New Roman" w:hAnsi="Times New Roman"/>
        </w:rPr>
        <w:t>άτομα που αναζητούν εργασία, ιδίως σπουδαστές και άτομα που αποφοίτησαν πρόσφατα,</w:t>
      </w:r>
    </w:p>
    <w:p w:rsidR="0002399B" w:rsidRPr="007D6282" w:rsidRDefault="0002399B" w:rsidP="007D6282">
      <w:pPr>
        <w:pStyle w:val="ListParagraph"/>
        <w:numPr>
          <w:ilvl w:val="0"/>
          <w:numId w:val="33"/>
        </w:numPr>
        <w:spacing w:after="0" w:line="288" w:lineRule="auto"/>
        <w:ind w:left="360"/>
      </w:pPr>
      <w:r>
        <w:rPr>
          <w:rFonts w:ascii="Times New Roman" w:hAnsi="Times New Roman"/>
        </w:rPr>
        <w:t>τοπικές/περιφερειακές δημόσιες υπηρεσίες απασχόλησης,</w:t>
      </w:r>
    </w:p>
    <w:p w:rsidR="0002399B" w:rsidRPr="007D6282" w:rsidRDefault="0002399B" w:rsidP="007D6282">
      <w:pPr>
        <w:pStyle w:val="ListParagraph"/>
        <w:numPr>
          <w:ilvl w:val="0"/>
          <w:numId w:val="33"/>
        </w:numPr>
        <w:spacing w:after="0" w:line="288" w:lineRule="auto"/>
        <w:ind w:left="360"/>
      </w:pPr>
      <w:r>
        <w:rPr>
          <w:rFonts w:ascii="Times New Roman" w:hAnsi="Times New Roman"/>
        </w:rPr>
        <w:t>οργανισμούς κατάρτισης και επανακατάρτισης και γραφεία απασχόλησης,</w:t>
      </w:r>
    </w:p>
    <w:p w:rsidR="0002399B" w:rsidRPr="007D6282" w:rsidRDefault="0002399B" w:rsidP="007D6282">
      <w:pPr>
        <w:pStyle w:val="ListParagraph"/>
        <w:numPr>
          <w:ilvl w:val="0"/>
          <w:numId w:val="33"/>
        </w:numPr>
        <w:spacing w:after="0" w:line="288" w:lineRule="auto"/>
        <w:ind w:left="360"/>
      </w:pPr>
      <w:r>
        <w:rPr>
          <w:rFonts w:ascii="Times New Roman" w:hAnsi="Times New Roman"/>
        </w:rPr>
        <w:t>κοινωνικούς εταίρους, εγκαταστάσεις εκπαίδευσης,</w:t>
      </w:r>
    </w:p>
    <w:p w:rsidR="0002399B" w:rsidRPr="007D6282" w:rsidRDefault="0002399B" w:rsidP="007D6282">
      <w:pPr>
        <w:pStyle w:val="ListParagraph"/>
        <w:numPr>
          <w:ilvl w:val="0"/>
          <w:numId w:val="33"/>
        </w:numPr>
        <w:spacing w:after="0" w:line="288" w:lineRule="auto"/>
        <w:ind w:left="360"/>
      </w:pPr>
      <w:r>
        <w:rPr>
          <w:rFonts w:ascii="Times New Roman" w:hAnsi="Times New Roman"/>
        </w:rPr>
        <w:t>τοπικές/περιφερειακές αρχές και πολιτικούς και</w:t>
      </w:r>
    </w:p>
    <w:p w:rsidR="0002399B" w:rsidRPr="007D6282" w:rsidRDefault="0002399B" w:rsidP="007D6282">
      <w:pPr>
        <w:pStyle w:val="ListParagraph"/>
        <w:numPr>
          <w:ilvl w:val="0"/>
          <w:numId w:val="33"/>
        </w:numPr>
        <w:spacing w:after="0" w:line="288" w:lineRule="auto"/>
        <w:ind w:left="360"/>
      </w:pPr>
      <w:r>
        <w:rPr>
          <w:rFonts w:ascii="Times New Roman" w:hAnsi="Times New Roman"/>
        </w:rPr>
        <w:t>τοπικά/περιφερειακά μέσα ενημέρωσης.</w:t>
      </w:r>
    </w:p>
    <w:p w:rsidR="00FE1A83" w:rsidRPr="007D6282" w:rsidRDefault="00FE1A83" w:rsidP="007D6282">
      <w:pPr>
        <w:rPr>
          <w:lang w:val="en-GB"/>
        </w:rPr>
      </w:pPr>
    </w:p>
    <w:p w:rsidR="0002399B" w:rsidRPr="007D6282" w:rsidRDefault="00455FAA" w:rsidP="007D6282">
      <w:pPr>
        <w:pStyle w:val="Heading3"/>
        <w:tabs>
          <w:tab w:val="left" w:pos="567"/>
        </w:tabs>
        <w:rPr>
          <w:rFonts w:asciiTheme="majorHAnsi" w:hAnsiTheme="majorHAnsi"/>
          <w:color w:val="365F91" w:themeColor="accent1" w:themeShade="BF"/>
        </w:rPr>
      </w:pPr>
      <w:r>
        <w:rPr>
          <w:rFonts w:ascii="Times New Roman" w:hAnsi="Times New Roman"/>
          <w:b/>
          <w:sz w:val="24"/>
          <w:szCs w:val="24"/>
        </w:rPr>
        <w:t>2.4.4.</w:t>
      </w:r>
      <w:r>
        <w:rPr>
          <w:rFonts w:ascii="Times New Roman" w:hAnsi="Times New Roman"/>
          <w:b/>
          <w:sz w:val="24"/>
          <w:szCs w:val="24"/>
        </w:rPr>
        <w:tab/>
        <w:t>Πιθανοί εταίροι και υλοποίηση</w:t>
      </w:r>
    </w:p>
    <w:p w:rsidR="0002399B" w:rsidRPr="007D6282" w:rsidRDefault="0002399B" w:rsidP="007D6282">
      <w:pPr>
        <w:keepNext/>
        <w:rPr>
          <w:lang w:val="en-GB"/>
        </w:rPr>
      </w:pPr>
    </w:p>
    <w:p w:rsidR="0002399B" w:rsidRPr="007D6282" w:rsidRDefault="00E0617C">
      <w:r>
        <w:t>Μια «ευρωπαϊκή έκθεση ενημέρωσης για τις τοπικές θέσεις εργασίας» θα είναι η πλέον επιτυχής, όταν θα συμμετέχουν από την αρχή οι σωστοί εταίροι για να διασφαλιστεί η ουσιαστική συμβολή τους. Θα μπορούσαν να συμμετάσχουν οι ακόλουθοι εταίροι:</w:t>
      </w:r>
    </w:p>
    <w:p w:rsidR="0002399B" w:rsidRPr="007D6282" w:rsidRDefault="0002399B">
      <w:pPr>
        <w:rPr>
          <w:lang w:val="en-GB"/>
        </w:rPr>
      </w:pPr>
    </w:p>
    <w:p w:rsidR="0002399B" w:rsidRPr="007D6282" w:rsidRDefault="00E0617C" w:rsidP="007D6282">
      <w:pPr>
        <w:pStyle w:val="ListParagraph"/>
        <w:numPr>
          <w:ilvl w:val="0"/>
          <w:numId w:val="40"/>
        </w:numPr>
        <w:spacing w:after="0" w:line="288" w:lineRule="auto"/>
        <w:jc w:val="both"/>
      </w:pPr>
      <w:r>
        <w:rPr>
          <w:rFonts w:ascii="Times New Roman" w:hAnsi="Times New Roman"/>
          <w:u w:val="single"/>
        </w:rPr>
        <w:t>Σε τοπικό επίπεδο</w:t>
      </w:r>
      <w:r>
        <w:rPr>
          <w:rFonts w:ascii="Times New Roman" w:hAnsi="Times New Roman"/>
        </w:rPr>
        <w:t>: δημόσιες αρχές, εμπορικά επιμελητήρια και επιχειρηματικές ενώσεις, συνδικαλιστικές οργανώσεις, κοινωνία των πολιτών, σχολεία, πανεπιστήμια κ.λπ.</w:t>
      </w:r>
    </w:p>
    <w:p w:rsidR="0002399B" w:rsidRPr="007D6282" w:rsidRDefault="00E0617C" w:rsidP="007D6282">
      <w:pPr>
        <w:pStyle w:val="ListParagraph"/>
        <w:numPr>
          <w:ilvl w:val="0"/>
          <w:numId w:val="40"/>
        </w:numPr>
        <w:spacing w:after="0" w:line="288" w:lineRule="auto"/>
        <w:jc w:val="both"/>
      </w:pPr>
      <w:r>
        <w:rPr>
          <w:rFonts w:ascii="Times New Roman" w:hAnsi="Times New Roman"/>
          <w:u w:val="single"/>
        </w:rPr>
        <w:t>Σε περιφερειακό επίπεδο</w:t>
      </w:r>
      <w:r>
        <w:rPr>
          <w:rFonts w:ascii="Times New Roman" w:hAnsi="Times New Roman"/>
        </w:rPr>
        <w:t>: διαχειριστική αρχή του ΕΚΤ, υπηρεσίες απασχόλησης, περιφερειακά υπουργεία, περιφερειακές επιχειρηματικές ενώσεις, πανεπιστήμια κ.λπ.</w:t>
      </w:r>
    </w:p>
    <w:p w:rsidR="0002399B" w:rsidRPr="007D6282" w:rsidRDefault="00E0617C" w:rsidP="007D6282">
      <w:pPr>
        <w:pStyle w:val="ListParagraph"/>
        <w:numPr>
          <w:ilvl w:val="0"/>
          <w:numId w:val="40"/>
        </w:numPr>
        <w:spacing w:after="0" w:line="288" w:lineRule="auto"/>
        <w:jc w:val="both"/>
      </w:pPr>
      <w:r>
        <w:rPr>
          <w:rFonts w:ascii="Times New Roman" w:hAnsi="Times New Roman"/>
          <w:u w:val="single"/>
        </w:rPr>
        <w:t>Σε εθνικό επίπεδο</w:t>
      </w:r>
      <w:r>
        <w:rPr>
          <w:rFonts w:ascii="Times New Roman" w:hAnsi="Times New Roman"/>
        </w:rPr>
        <w:t>: εθνικά υπουργεία, ενώσεις του κοινωνικού τομέα,ενώσεις κατάρτισης, πανεπιστημιακές ενώσεις, ενώσεις κατάρτισης, πανεπιστημιακές ενώσεις κ.λπ.</w:t>
      </w:r>
    </w:p>
    <w:p w:rsidR="00256F0C" w:rsidRPr="007D6282" w:rsidRDefault="00E0617C" w:rsidP="007D6282">
      <w:pPr>
        <w:pStyle w:val="ListParagraph"/>
        <w:numPr>
          <w:ilvl w:val="0"/>
          <w:numId w:val="40"/>
        </w:numPr>
        <w:spacing w:after="0" w:line="288" w:lineRule="auto"/>
        <w:jc w:val="both"/>
      </w:pPr>
      <w:r>
        <w:rPr>
          <w:rFonts w:ascii="Times New Roman" w:hAnsi="Times New Roman"/>
        </w:rPr>
        <w:t>Σε επίπεδο ΕΕ: Ευρωπαϊκή Επιτροπή (επικεφαλής η ΓΔ EMPL· άλλες ΓΔ και υπηρεσίες που θα μπορούσαν να προσκληθούν: ΓΔ EAC· ΓΔ REGIO, ΓΔ REFORM, ΚΚΕρ), οργανισμοί της ΕΕ (ΕΑΕ, CEDEFOP, EUROFOUND)· μέλη της ΕτΠ· ευρωβουλευτές· κοινωνικοί εταίροι.</w:t>
      </w:r>
    </w:p>
    <w:p w:rsidR="00FE1A83" w:rsidRPr="003814FB" w:rsidRDefault="00FE1A83">
      <w:pPr>
        <w:rPr>
          <w:lang w:val="en-GB"/>
        </w:rPr>
      </w:pPr>
    </w:p>
    <w:p w:rsidR="00834904" w:rsidRPr="003814FB" w:rsidRDefault="00834904">
      <w:r>
        <w:t xml:space="preserve">Δεδομένου ότι η τρέχουσα πανδημία COVID-19 καθιστά αδύνατη προς το παρόν τη διοργάνωση επιτόπιων εκθέσεων, θα μπορούσε να εξεταστεί το ενδεχόμενο διοργάνωσης τέτοιων εκδηλώσεων ως </w:t>
      </w:r>
      <w:hyperlink r:id="rId14" w:history="1">
        <w:r>
          <w:t>ευρωπαϊκών διαδικτυακών ημερών απασχόλησης</w:t>
        </w:r>
      </w:hyperlink>
      <w:r>
        <w:t>, σε συμφωνία και με τη συμμετοχή του αντίστοιχου εθνικού γραφείου συντονισμού EURES.</w:t>
      </w:r>
    </w:p>
    <w:p w:rsidR="003E0FE7" w:rsidRPr="003814FB" w:rsidRDefault="003E0FE7">
      <w:pPr>
        <w:rPr>
          <w:lang w:val="en-GB"/>
        </w:rPr>
      </w:pPr>
    </w:p>
    <w:p w:rsidR="00E6624D" w:rsidRPr="003814FB" w:rsidRDefault="00E6624D">
      <w:r>
        <w:t>Οι ρόλοι και οι αρμοδιότητες των διοργανωτών και των εταίρων θα καθοριστούν σε χωριστές συμφωνίες.</w:t>
      </w:r>
    </w:p>
    <w:p w:rsidR="00F165DD" w:rsidRPr="007D6282" w:rsidRDefault="00F165DD">
      <w:pPr>
        <w:rPr>
          <w:sz w:val="24"/>
          <w:lang w:val="en-GB"/>
        </w:rPr>
      </w:pPr>
    </w:p>
    <w:p w:rsidR="001A2D75" w:rsidRPr="007D6282" w:rsidRDefault="001A2D75" w:rsidP="007D6282">
      <w:pPr>
        <w:pStyle w:val="ListParagraph"/>
        <w:keepNext/>
        <w:numPr>
          <w:ilvl w:val="2"/>
          <w:numId w:val="22"/>
        </w:numPr>
        <w:spacing w:after="0" w:line="288" w:lineRule="auto"/>
        <w:rPr>
          <w:b/>
          <w:sz w:val="24"/>
        </w:rPr>
      </w:pPr>
      <w:r>
        <w:rPr>
          <w:rFonts w:ascii="Times New Roman" w:hAnsi="Times New Roman"/>
          <w:b/>
          <w:sz w:val="24"/>
        </w:rPr>
        <w:lastRenderedPageBreak/>
        <w:t>Χρηματοδότηση και άλλες μορφές στήριξης</w:t>
      </w:r>
    </w:p>
    <w:p w:rsidR="001A2D75" w:rsidRPr="003814FB" w:rsidRDefault="001A2D75" w:rsidP="007D6282">
      <w:pPr>
        <w:keepNext/>
        <w:rPr>
          <w:lang w:val="en-GB"/>
        </w:rPr>
      </w:pPr>
    </w:p>
    <w:p w:rsidR="006C7232" w:rsidRPr="007D6282" w:rsidRDefault="001A2D75">
      <w:r>
        <w:t>Οι «ευρωπαϊκές εκθέσεις ενημέρωσης για τις τοπικές θέσεις εργασίας» που διοργανώνονται από μέλη της ΕτΠ θα μπορούσαν να στηριχθούν με χρηματοδότηση από την ΕΕ. Η Επιτροπή των Περιφερειών και η ΓΔ EMPL θα διερευνήσουν από κοινού τις κατάλληλες επιλογές για τη χρηματοδοτική στήριξη αυτών των εκδηλώσεων.</w:t>
      </w:r>
    </w:p>
    <w:p w:rsidR="001A2D75" w:rsidRPr="007D6282" w:rsidRDefault="001A2D75">
      <w:pPr>
        <w:rPr>
          <w:lang w:val="en-GB"/>
        </w:rPr>
      </w:pPr>
    </w:p>
    <w:p w:rsidR="001A2D75" w:rsidRPr="007D6282" w:rsidRDefault="008D4711">
      <w:r>
        <w:t>Άλλες μορφές στήριξης θα μπορούσαν να περιλαμβάνουν:</w:t>
      </w:r>
    </w:p>
    <w:p w:rsidR="001A2D75" w:rsidRPr="007D6282" w:rsidRDefault="001A2D75">
      <w:pPr>
        <w:rPr>
          <w:lang w:val="en-GB"/>
        </w:rPr>
      </w:pPr>
    </w:p>
    <w:p w:rsidR="001A2D75" w:rsidRPr="007D6282" w:rsidRDefault="001A2D75" w:rsidP="007D6282">
      <w:pPr>
        <w:pStyle w:val="ListParagraph"/>
        <w:numPr>
          <w:ilvl w:val="0"/>
          <w:numId w:val="41"/>
        </w:numPr>
        <w:spacing w:after="0" w:line="288" w:lineRule="auto"/>
        <w:jc w:val="both"/>
      </w:pPr>
      <w:r>
        <w:rPr>
          <w:rFonts w:ascii="Times New Roman" w:hAnsi="Times New Roman"/>
        </w:rPr>
        <w:t>Δέσμευση των εταίρων της ΕΕ να συμμετάσχουν ενεργά στις εκθέσεις (αποστέλλοντας εμπειρογνώμονες και εκπροσώπους)·</w:t>
      </w:r>
    </w:p>
    <w:p w:rsidR="001A2D75" w:rsidRPr="007D6282" w:rsidRDefault="001A2D75" w:rsidP="007D6282">
      <w:pPr>
        <w:pStyle w:val="ListParagraph"/>
        <w:numPr>
          <w:ilvl w:val="0"/>
          <w:numId w:val="41"/>
        </w:numPr>
        <w:spacing w:after="0" w:line="288" w:lineRule="auto"/>
        <w:jc w:val="both"/>
      </w:pPr>
      <w:r>
        <w:rPr>
          <w:rFonts w:ascii="Times New Roman" w:hAnsi="Times New Roman"/>
        </w:rPr>
        <w:t>Δέσμευση των εταίρων της ΕΕ να προετοιμάσουν κατάλληλο ενημερωτικό υλικό για την εκδήλωση·</w:t>
      </w:r>
    </w:p>
    <w:p w:rsidR="001A2D75" w:rsidRPr="007D6282" w:rsidRDefault="001A2D75" w:rsidP="007D6282">
      <w:pPr>
        <w:pStyle w:val="ListParagraph"/>
        <w:numPr>
          <w:ilvl w:val="0"/>
          <w:numId w:val="41"/>
        </w:numPr>
        <w:spacing w:after="0" w:line="288" w:lineRule="auto"/>
        <w:jc w:val="both"/>
      </w:pPr>
      <w:r>
        <w:rPr>
          <w:rFonts w:ascii="Times New Roman" w:hAnsi="Times New Roman"/>
        </w:rPr>
        <w:t>Δέσμευση, όποτε είναι εφικτό, για εκπροσώπηση υψηλού επιπέδου: παρουσία του Επιτρόπου ή ενός ανώτατου διοικητικού στελέχους της ΓΔ EMPL στην έκθεση.</w:t>
      </w:r>
    </w:p>
    <w:p w:rsidR="007A1EBE" w:rsidRPr="007D6282" w:rsidRDefault="007A1EBE" w:rsidP="007D6282">
      <w:pPr>
        <w:rPr>
          <w:lang w:val="en-GB"/>
        </w:rPr>
      </w:pPr>
    </w:p>
    <w:p w:rsidR="00E01D16" w:rsidRPr="007D6282" w:rsidRDefault="008C4469" w:rsidP="007D6282">
      <w:pPr>
        <w:pStyle w:val="Heading1"/>
        <w:spacing w:before="0"/>
        <w:ind w:left="567" w:hanging="567"/>
        <w:rPr>
          <w:b/>
          <w:sz w:val="24"/>
        </w:rPr>
      </w:pPr>
      <w:r>
        <w:rPr>
          <w:rFonts w:ascii="Times New Roman" w:hAnsi="Times New Roman"/>
          <w:b/>
          <w:color w:val="auto"/>
          <w:sz w:val="24"/>
          <w:szCs w:val="24"/>
        </w:rPr>
        <w:t xml:space="preserve">3. </w:t>
      </w:r>
      <w:r>
        <w:rPr>
          <w:rFonts w:ascii="Times New Roman" w:hAnsi="Times New Roman"/>
          <w:b/>
          <w:color w:val="auto"/>
          <w:sz w:val="24"/>
          <w:szCs w:val="24"/>
        </w:rPr>
        <w:tab/>
      </w:r>
      <w:r>
        <w:rPr>
          <w:rFonts w:ascii="Times New Roman" w:hAnsi="Times New Roman"/>
          <w:b/>
          <w:color w:val="auto"/>
          <w:sz w:val="24"/>
        </w:rPr>
        <w:t>Άλλοι τομείς πολιτικής και δυνατότητες συνεργασίας</w:t>
      </w:r>
    </w:p>
    <w:p w:rsidR="00E01D16" w:rsidRPr="007D6282" w:rsidRDefault="00E01D16">
      <w:pPr>
        <w:rPr>
          <w:rFonts w:eastAsiaTheme="majorEastAsia"/>
          <w:lang w:val="en-GB"/>
        </w:rPr>
      </w:pPr>
    </w:p>
    <w:p w:rsidR="00E01D16" w:rsidRPr="007D6282" w:rsidRDefault="00E01D16" w:rsidP="007D6282">
      <w:pPr>
        <w:spacing w:after="0"/>
        <w:rPr>
          <w:bCs/>
        </w:rPr>
      </w:pPr>
      <w:r>
        <w:t xml:space="preserve">Επί του παρόντος, υπάρχουν αρκετές άλλες πρωτοβουλίες στην ημερήσια διάταξη της ΓΔ EMPL, όπως: </w:t>
      </w:r>
    </w:p>
    <w:p w:rsidR="007A1EBE" w:rsidRPr="007D6282" w:rsidRDefault="007A1EBE" w:rsidP="007D6282">
      <w:pPr>
        <w:spacing w:after="0"/>
        <w:rPr>
          <w:bCs/>
          <w:lang w:val="en-GB"/>
        </w:rPr>
      </w:pPr>
    </w:p>
    <w:p w:rsidR="00457987" w:rsidRPr="007D6282" w:rsidRDefault="007A1EBE" w:rsidP="007D6282">
      <w:pPr>
        <w:pStyle w:val="ListParagraph"/>
        <w:numPr>
          <w:ilvl w:val="0"/>
          <w:numId w:val="33"/>
        </w:numPr>
        <w:spacing w:after="0" w:line="288" w:lineRule="auto"/>
        <w:ind w:left="360"/>
        <w:jc w:val="both"/>
      </w:pPr>
      <w:r>
        <w:rPr>
          <w:rFonts w:ascii="Times New Roman" w:hAnsi="Times New Roman"/>
        </w:rPr>
        <w:t>το σχέδιο δράσης για την κοινωνική οικονομία, που αναμένεται το 2021. Η συνεργασία θα μπορούσε να διερευνήσει δραστηριότητες στους τομείς της κοινωνικής ένταξης, της δημιουργίας θέσεων εργασίας, της φροντίδας (πρώιμη παιδική φροντίδα και φροντίδα για τους ηλικιωμένους), άλλων κοινωνικών υπηρεσιών, καθώς και της κοινωνικής καινοτομίας στην κοινωνική οικονομία σε περιφερειακό και διαπεριφερειακό επίπεδο·</w:t>
      </w:r>
    </w:p>
    <w:p w:rsidR="00E01D16" w:rsidRPr="007D6282" w:rsidRDefault="007A1EBE" w:rsidP="007D6282">
      <w:pPr>
        <w:pStyle w:val="ListParagraph"/>
        <w:numPr>
          <w:ilvl w:val="0"/>
          <w:numId w:val="33"/>
        </w:numPr>
        <w:spacing w:after="0" w:line="288" w:lineRule="auto"/>
        <w:ind w:left="360"/>
        <w:jc w:val="both"/>
      </w:pPr>
      <w:r>
        <w:rPr>
          <w:rFonts w:ascii="Times New Roman" w:hAnsi="Times New Roman"/>
        </w:rPr>
        <w:t>οι επαρκείς κατώτατοι μισθοί για τους οποίους η Επιτροπή πρότεινε οδηγία στις 28 Οκτωβρίου 2020·</w:t>
      </w:r>
    </w:p>
    <w:p w:rsidR="00E01D16" w:rsidRPr="007D6282" w:rsidRDefault="007A1EBE" w:rsidP="007D6282">
      <w:pPr>
        <w:pStyle w:val="ListParagraph"/>
        <w:numPr>
          <w:ilvl w:val="0"/>
          <w:numId w:val="33"/>
        </w:numPr>
        <w:spacing w:after="0" w:line="288" w:lineRule="auto"/>
        <w:ind w:left="360"/>
        <w:jc w:val="both"/>
      </w:pPr>
      <w:r>
        <w:rPr>
          <w:rFonts w:ascii="Times New Roman" w:hAnsi="Times New Roman"/>
        </w:rPr>
        <w:t>οι συνθήκες εργασίας των εποχιακών εργαζομένων για τις οποίες η Επιτροπή εξέδωσε κατευθυντήριες γραμμές το 2020·</w:t>
      </w:r>
    </w:p>
    <w:p w:rsidR="00E01D16" w:rsidRPr="007D6282" w:rsidRDefault="007A1EBE" w:rsidP="007D6282">
      <w:pPr>
        <w:pStyle w:val="ListParagraph"/>
        <w:numPr>
          <w:ilvl w:val="0"/>
          <w:numId w:val="33"/>
        </w:numPr>
        <w:spacing w:after="0" w:line="288" w:lineRule="auto"/>
        <w:ind w:left="360"/>
        <w:jc w:val="both"/>
      </w:pPr>
      <w:r>
        <w:rPr>
          <w:rFonts w:ascii="Times New Roman" w:hAnsi="Times New Roman"/>
        </w:rPr>
        <w:t>οι πτυχές των δημογραφικών αλλαγών που εμπίπτουν στην αρμοδιότητα της ΓΔ EMPL.</w:t>
      </w:r>
    </w:p>
    <w:p w:rsidR="007A1EBE" w:rsidRPr="007D6282" w:rsidRDefault="007A1EBE">
      <w:pPr>
        <w:rPr>
          <w:lang w:val="en-GB"/>
        </w:rPr>
      </w:pPr>
    </w:p>
    <w:p w:rsidR="00E01D16" w:rsidRPr="007D6282" w:rsidRDefault="00E01D16">
      <w:r>
        <w:t>Η ΕτΠ θα επιδιώξει να εντείνει τη διαβούλευση με τις ΤΠΑ για να τροφοδοτήσει αυτούς τους βασικούς τομείς εργασίας. Επιπλέον, η ΕτΠ και η ΓΔ EMPL θα επιδιώξουν την εντατικοποίηση των ανταλλαγών για τα θέματα αυτά.</w:t>
      </w:r>
    </w:p>
    <w:p w:rsidR="00E01D16" w:rsidRPr="007D6282" w:rsidRDefault="00E01D16">
      <w:pPr>
        <w:rPr>
          <w:lang w:val="en-GB"/>
        </w:rPr>
      </w:pPr>
    </w:p>
    <w:p w:rsidR="003E36A3" w:rsidRPr="007D6282" w:rsidRDefault="003E36A3" w:rsidP="00720598">
      <w:pPr>
        <w:keepNext/>
        <w:keepLines/>
      </w:pPr>
      <w:r>
        <w:lastRenderedPageBreak/>
        <w:t>Για να επιτευχθεί ενισχυμένη συνεργασία μεταξύ της ΕτΠ και της ΓΔ EMPL, μπορούν να προβλεφθούν τα ακόλουθα πρόσθετα μέτρα:</w:t>
      </w:r>
    </w:p>
    <w:p w:rsidR="005B2DC3" w:rsidRPr="007D6282" w:rsidRDefault="005B2DC3" w:rsidP="00720598">
      <w:pPr>
        <w:keepNext/>
        <w:keepLines/>
        <w:rPr>
          <w:lang w:val="en-GB"/>
        </w:rPr>
      </w:pPr>
    </w:p>
    <w:p w:rsidR="003E36A3" w:rsidRPr="007D6282" w:rsidRDefault="007A1EBE" w:rsidP="00720598">
      <w:pPr>
        <w:pStyle w:val="ListParagraph"/>
        <w:keepNext/>
        <w:keepLines/>
        <w:numPr>
          <w:ilvl w:val="0"/>
          <w:numId w:val="17"/>
        </w:numPr>
        <w:spacing w:after="0" w:line="288" w:lineRule="auto"/>
        <w:ind w:left="357" w:hanging="357"/>
        <w:jc w:val="both"/>
      </w:pPr>
      <w:r>
        <w:rPr>
          <w:rFonts w:ascii="Times New Roman" w:hAnsi="Times New Roman"/>
        </w:rPr>
        <w:t>τακτικός πολιτικός διάλογος – στις συνόδους ολομέλειας της ΕτΠ και στις συνεδριάσεις της επιτροπής SEDEC·</w:t>
      </w:r>
    </w:p>
    <w:p w:rsidR="003E36A3" w:rsidRPr="007D6282" w:rsidRDefault="007A1EBE" w:rsidP="007D6282">
      <w:pPr>
        <w:pStyle w:val="ListParagraph"/>
        <w:numPr>
          <w:ilvl w:val="0"/>
          <w:numId w:val="17"/>
        </w:numPr>
        <w:spacing w:after="0" w:line="288" w:lineRule="auto"/>
        <w:ind w:left="357" w:hanging="357"/>
        <w:jc w:val="both"/>
      </w:pPr>
      <w:r>
        <w:rPr>
          <w:rFonts w:ascii="Times New Roman" w:hAnsi="Times New Roman"/>
        </w:rPr>
        <w:t>εξέταση της συμμετοχής μελών και εισηγητών της ΕτΠ σε διασκέψεις και εκδηλώσεις που διοργανώνει η ΓΔ EMPL, όπου η τοπική και η περιφερειακή προοπτική προσφέρει προστιθέμενη αξία·</w:t>
      </w:r>
    </w:p>
    <w:p w:rsidR="003E36A3" w:rsidRPr="007D6282" w:rsidRDefault="007A1EBE" w:rsidP="007D6282">
      <w:pPr>
        <w:pStyle w:val="ListParagraph"/>
        <w:numPr>
          <w:ilvl w:val="0"/>
          <w:numId w:val="17"/>
        </w:numPr>
        <w:spacing w:after="0" w:line="288" w:lineRule="auto"/>
        <w:ind w:left="357" w:hanging="357"/>
        <w:jc w:val="both"/>
      </w:pPr>
      <w:r>
        <w:rPr>
          <w:rFonts w:ascii="Times New Roman" w:hAnsi="Times New Roman"/>
        </w:rPr>
        <w:t>ενημέρωση, κατόπιν αιτήματος, των μελών της ΕτΠ σχετικά με τη διαθέσιμη χρηματοδότηση και την πολιτική στήριξη της ΕΕ, προκειμένου να καταδειχθεί ο τρόπος με τον οποίο η ΕΕ μπορεί να βοηθήσει τις περιφέρειες και τις πόλεις στην πράσινη και την ψηφιακή μετάβαση·</w:t>
      </w:r>
    </w:p>
    <w:p w:rsidR="002E7C63" w:rsidRPr="007D6282" w:rsidRDefault="007A1EBE" w:rsidP="007D6282">
      <w:pPr>
        <w:pStyle w:val="ListParagraph"/>
        <w:numPr>
          <w:ilvl w:val="0"/>
          <w:numId w:val="17"/>
        </w:numPr>
        <w:spacing w:after="0" w:line="288" w:lineRule="auto"/>
        <w:ind w:left="357" w:hanging="357"/>
        <w:jc w:val="both"/>
      </w:pPr>
      <w:r>
        <w:rPr>
          <w:rFonts w:ascii="Times New Roman" w:hAnsi="Times New Roman"/>
        </w:rPr>
        <w:t>διερεύνηση κοινών επικοινωνιακών μέτρων, κατά περίπτωση·</w:t>
      </w:r>
    </w:p>
    <w:p w:rsidR="006D7CA9" w:rsidRPr="007D6282" w:rsidRDefault="007A1EBE" w:rsidP="007D6282">
      <w:pPr>
        <w:pStyle w:val="ListParagraph"/>
        <w:numPr>
          <w:ilvl w:val="0"/>
          <w:numId w:val="17"/>
        </w:numPr>
        <w:spacing w:after="0" w:line="288" w:lineRule="auto"/>
        <w:ind w:left="357" w:hanging="357"/>
        <w:jc w:val="both"/>
      </w:pPr>
      <w:r>
        <w:t>διερεύνηση συνεργειών με πρωτοβουλίες άλλων ΓΔ, όπως η συνεργασία στο πλαίσιο της θεματικής πλατφόρμας έξυπνης εξειδίκευσης για τον βιομηχανικό εκσυγχρονισμό σχετικά με την κοινωνική οικονομία (</w:t>
      </w:r>
      <w:hyperlink r:id="rId15" w:history="1">
        <w:r>
          <w:rPr>
            <w:rStyle w:val="Hyperlink"/>
            <w:rFonts w:ascii="Times New Roman" w:hAnsi="Times New Roman"/>
          </w:rPr>
          <w:t>https://s3platform.jrc.ec.e</w:t>
        </w:r>
        <w:bookmarkStart w:id="0" w:name="_GoBack"/>
        <w:bookmarkEnd w:id="0"/>
        <w:r>
          <w:rPr>
            <w:rStyle w:val="Hyperlink"/>
            <w:rFonts w:ascii="Times New Roman" w:hAnsi="Times New Roman"/>
          </w:rPr>
          <w:t>u</w:t>
        </w:r>
        <w:r>
          <w:rPr>
            <w:rStyle w:val="Hyperlink"/>
            <w:rFonts w:ascii="Times New Roman" w:hAnsi="Times New Roman"/>
          </w:rPr>
          <w:t>ropa.eu/social-economy</w:t>
        </w:r>
      </w:hyperlink>
      <w:r>
        <w:t>).</w:t>
      </w:r>
    </w:p>
    <w:p w:rsidR="006D7CA9" w:rsidRPr="007D6282" w:rsidRDefault="006D7CA9">
      <w:pPr>
        <w:rPr>
          <w:lang w:val="en-GB"/>
        </w:rPr>
      </w:pPr>
    </w:p>
    <w:p w:rsidR="006D7CA9" w:rsidRPr="007D6282" w:rsidRDefault="0068468C" w:rsidP="007D6282">
      <w:pPr>
        <w:pStyle w:val="Heading1"/>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 xml:space="preserve">4. </w:t>
      </w:r>
      <w:r>
        <w:rPr>
          <w:rFonts w:ascii="Times New Roman" w:hAnsi="Times New Roman"/>
          <w:b/>
          <w:color w:val="000000" w:themeColor="text1"/>
          <w:sz w:val="24"/>
          <w:szCs w:val="24"/>
        </w:rPr>
        <w:tab/>
        <w:t>Επόμενα βήματα</w:t>
      </w:r>
    </w:p>
    <w:p w:rsidR="006D7CA9" w:rsidRPr="007D6282" w:rsidRDefault="006D7CA9" w:rsidP="007D6282">
      <w:pPr>
        <w:keepNext/>
        <w:rPr>
          <w:lang w:val="en-GB"/>
        </w:rPr>
      </w:pPr>
    </w:p>
    <w:p w:rsidR="000F448C" w:rsidRPr="003814FB" w:rsidRDefault="00DC0DF4" w:rsidP="007D6282">
      <w:pPr>
        <w:jc w:val="both"/>
      </w:pPr>
      <w:r>
        <w:t>Τόσο η ΓΔ EMPL όσο και η ΕτΠ θα ορίσουν υπεύθυνους επικοινωνίας για τον καθορισμό των λεπτομερειών της έννοιας και των λεπτομερειών της υλοποίησης των «ευρωπαϊκών εκθέσεων ενημέρωσης για τις τοπικές θέσεις εργασίας», καθώς και για τη διασφάλιση της ομαλής συνεργασίας και του συντονισμού των δράσεων σε διοικητικό επίπεδο.</w:t>
      </w:r>
    </w:p>
    <w:sectPr w:rsidR="000F448C" w:rsidRPr="003814FB" w:rsidSect="003831AE">
      <w:footerReference w:type="default" r:id="rId16"/>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84" w:rsidRDefault="00683784" w:rsidP="007E71D2">
      <w:pPr>
        <w:spacing w:line="240" w:lineRule="auto"/>
      </w:pPr>
      <w:r>
        <w:separator/>
      </w:r>
    </w:p>
  </w:endnote>
  <w:endnote w:type="continuationSeparator" w:id="0">
    <w:p w:rsidR="00683784" w:rsidRDefault="00683784" w:rsidP="007E71D2">
      <w:pPr>
        <w:spacing w:line="240" w:lineRule="auto"/>
      </w:pPr>
      <w:r>
        <w:continuationSeparator/>
      </w:r>
    </w:p>
  </w:endnote>
  <w:endnote w:type="continuationNotice" w:id="1">
    <w:p w:rsidR="00683784" w:rsidRDefault="00683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22340"/>
      <w:docPartObj>
        <w:docPartGallery w:val="Page Numbers (Bottom of Page)"/>
        <w:docPartUnique/>
      </w:docPartObj>
    </w:sdtPr>
    <w:sdtEndPr>
      <w:rPr>
        <w:noProof/>
      </w:rPr>
    </w:sdtEndPr>
    <w:sdtContent>
      <w:p w:rsidR="00EB2F01" w:rsidRDefault="00EB2F01" w:rsidP="007D6282">
        <w:pPr>
          <w:pStyle w:val="Footer"/>
          <w:jc w:val="center"/>
        </w:pPr>
        <w:r>
          <w:fldChar w:fldCharType="begin"/>
        </w:r>
        <w:r>
          <w:instrText xml:space="preserve"> PAGE   \* MERGEFORMAT </w:instrText>
        </w:r>
        <w:r>
          <w:fldChar w:fldCharType="separate"/>
        </w:r>
        <w:r w:rsidR="00720598">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84" w:rsidRDefault="00683784" w:rsidP="007E71D2">
      <w:pPr>
        <w:spacing w:line="240" w:lineRule="auto"/>
      </w:pPr>
      <w:r>
        <w:separator/>
      </w:r>
    </w:p>
  </w:footnote>
  <w:footnote w:type="continuationSeparator" w:id="0">
    <w:p w:rsidR="00683784" w:rsidRDefault="00683784" w:rsidP="007E71D2">
      <w:pPr>
        <w:spacing w:line="240" w:lineRule="auto"/>
      </w:pPr>
      <w:r>
        <w:continuationSeparator/>
      </w:r>
    </w:p>
  </w:footnote>
  <w:footnote w:type="continuationNotice" w:id="1">
    <w:p w:rsidR="00683784" w:rsidRDefault="00683784">
      <w:pPr>
        <w:spacing w:line="240" w:lineRule="auto"/>
      </w:pPr>
    </w:p>
  </w:footnote>
  <w:footnote w:id="2">
    <w:p w:rsidR="00EB2F01" w:rsidRPr="007D6282" w:rsidRDefault="00EB2F01" w:rsidP="00C82EBC">
      <w:pPr>
        <w:pStyle w:val="FootnoteText"/>
        <w:tabs>
          <w:tab w:val="left" w:pos="567"/>
        </w:tabs>
        <w:rPr>
          <w:sz w:val="16"/>
          <w:szCs w:val="16"/>
        </w:rPr>
      </w:pPr>
      <w:r>
        <w:rPr>
          <w:rStyle w:val="FootnoteReference"/>
          <w:sz w:val="24"/>
          <w:szCs w:val="24"/>
        </w:rPr>
        <w:footnoteRef/>
      </w:r>
      <w:r>
        <w:t xml:space="preserve"> </w:t>
      </w:r>
      <w:r>
        <w:tab/>
      </w:r>
      <w:hyperlink r:id="rId1" w:history="1">
        <w:r>
          <w:rPr>
            <w:rStyle w:val="Hyperlink"/>
            <w:sz w:val="16"/>
            <w:szCs w:val="16"/>
          </w:rPr>
          <w:t>https://ec.europa.eu/commission/sites/beta-political/files/reflection-paper-social-dimension-europe_el.pdf</w:t>
        </w:r>
      </w:hyperlink>
    </w:p>
  </w:footnote>
  <w:footnote w:id="3">
    <w:p w:rsidR="00EB2F01" w:rsidRPr="007D6282" w:rsidRDefault="00EB2F01" w:rsidP="007D6282">
      <w:pPr>
        <w:pStyle w:val="FootnoteText"/>
        <w:tabs>
          <w:tab w:val="left" w:pos="567"/>
        </w:tabs>
        <w:rPr>
          <w:sz w:val="16"/>
          <w:szCs w:val="16"/>
        </w:rPr>
      </w:pPr>
      <w:r>
        <w:rPr>
          <w:rStyle w:val="FootnoteReference"/>
          <w:sz w:val="24"/>
          <w:szCs w:val="24"/>
        </w:rPr>
        <w:footnoteRef/>
      </w:r>
      <w:r>
        <w:t xml:space="preserve"> </w:t>
      </w:r>
      <w:r>
        <w:tab/>
      </w:r>
      <w:hyperlink r:id="rId2" w:history="1">
        <w:r>
          <w:rPr>
            <w:rStyle w:val="Hyperlink"/>
            <w:sz w:val="16"/>
            <w:szCs w:val="16"/>
          </w:rPr>
          <w:t>https://eur-lex.europa.eu/LexUriServ/LexUriServ.do?uri=OJ:C:2012:102:0006:0010:EL:PDF</w:t>
        </w:r>
      </w:hyperlink>
    </w:p>
  </w:footnote>
  <w:footnote w:id="4">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COM(2020) 447 final.</w:t>
      </w:r>
    </w:p>
  </w:footnote>
  <w:footnote w:id="5">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rStyle w:val="FootnoteReference"/>
          <w:sz w:val="24"/>
          <w:szCs w:val="24"/>
        </w:rPr>
        <w:t xml:space="preserve"> </w:t>
      </w:r>
      <w:r>
        <w:rPr>
          <w:sz w:val="16"/>
          <w:szCs w:val="16"/>
        </w:rPr>
        <w:tab/>
        <w:t>Στην ανακοίνωση με θέμα «Στήριξη της απασχόλησης των νέων: Γέφυρα προς την απασχόληση για την επόμενη γενιά» (COM(2020) 276 final), η Επιτροπή κάλεσε μετ’ επιτάσεως τα κράτη μέλη να ενισχύσουν τη στήριξη της απασχόλησης των νέων και να αυξήσουν το επίπεδο που προορίζεται για τον στόχο αυτό σε σύγκριση με την περίοδο χρηματοδότησης 2014-2020, που εκτιμάται ότι ανέρχεται σε 22 δισ. ευρώ.</w:t>
      </w:r>
    </w:p>
  </w:footnote>
  <w:footnote w:id="6">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t xml:space="preserve"> </w:t>
      </w:r>
      <w:r>
        <w:tab/>
        <w:t>Η σύσταση του Συμβουλίου με θέμα «A Bridge to Jobs – Reinforcing the Youth Guarantee» (Γέφυρα προς την απασχόληση – Ενίσχυση των Εγγυήσεων για τη Νεολαία) συμφωνείται πολιτικά στο Συμβούλιο και θα εκδοθεί πριν από τα τέλη του 2020.</w:t>
      </w:r>
    </w:p>
  </w:footnote>
  <w:footnote w:id="7">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 xml:space="preserve">COM(2020) 276 final. </w:t>
      </w:r>
    </w:p>
  </w:footnote>
  <w:footnote w:id="8">
    <w:p w:rsidR="002867F1" w:rsidRPr="007D6282" w:rsidRDefault="002867F1">
      <w:pPr>
        <w:pStyle w:val="FootnoteText"/>
        <w:rPr>
          <w:sz w:val="16"/>
          <w:szCs w:val="16"/>
        </w:rPr>
      </w:pPr>
      <w:r>
        <w:rPr>
          <w:rStyle w:val="FootnoteReference"/>
          <w:sz w:val="24"/>
          <w:szCs w:val="24"/>
        </w:rPr>
        <w:footnoteRef/>
      </w:r>
      <w:r>
        <w:t xml:space="preserve"> </w:t>
      </w:r>
      <w:r>
        <w:tab/>
      </w:r>
      <w:r>
        <w:rPr>
          <w:sz w:val="16"/>
          <w:szCs w:val="16"/>
        </w:rPr>
        <w:t>COM(2020) 274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1C97EA"/>
    <w:lvl w:ilvl="0">
      <w:start w:val="1"/>
      <w:numFmt w:val="decimal"/>
      <w:lvlText w:val="%1."/>
      <w:legacy w:legacy="1" w:legacySpace="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44" w:legacyIndent="0"/>
      <w:lvlJc w:val="left"/>
      <w:rPr>
        <w:b w:val="0"/>
      </w:r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A460E"/>
    <w:multiLevelType w:val="multilevel"/>
    <w:tmpl w:val="C150BB92"/>
    <w:lvl w:ilvl="0">
      <w:start w:val="1"/>
      <w:numFmt w:val="decimal"/>
      <w:lvlText w:val="%1."/>
      <w:lvlJc w:val="left"/>
      <w:pPr>
        <w:ind w:left="360" w:hanging="360"/>
      </w:pPr>
      <w:rPr>
        <w:rFonts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8"/>
  </w:num>
  <w:num w:numId="4">
    <w:abstractNumId w:val="13"/>
  </w:num>
  <w:num w:numId="5">
    <w:abstractNumId w:val="31"/>
  </w:num>
  <w:num w:numId="6">
    <w:abstractNumId w:val="9"/>
  </w:num>
  <w:num w:numId="7">
    <w:abstractNumId w:val="8"/>
  </w:num>
  <w:num w:numId="8">
    <w:abstractNumId w:val="40"/>
  </w:num>
  <w:num w:numId="9">
    <w:abstractNumId w:val="15"/>
  </w:num>
  <w:num w:numId="10">
    <w:abstractNumId w:val="3"/>
  </w:num>
  <w:num w:numId="11">
    <w:abstractNumId w:val="30"/>
  </w:num>
  <w:num w:numId="12">
    <w:abstractNumId w:val="14"/>
  </w:num>
  <w:num w:numId="13">
    <w:abstractNumId w:val="36"/>
  </w:num>
  <w:num w:numId="14">
    <w:abstractNumId w:val="27"/>
  </w:num>
  <w:num w:numId="15">
    <w:abstractNumId w:val="2"/>
  </w:num>
  <w:num w:numId="16">
    <w:abstractNumId w:val="22"/>
  </w:num>
  <w:num w:numId="17">
    <w:abstractNumId w:val="12"/>
  </w:num>
  <w:num w:numId="18">
    <w:abstractNumId w:val="25"/>
  </w:num>
  <w:num w:numId="19">
    <w:abstractNumId w:val="20"/>
  </w:num>
  <w:num w:numId="20">
    <w:abstractNumId w:val="23"/>
  </w:num>
  <w:num w:numId="21">
    <w:abstractNumId w:val="21"/>
  </w:num>
  <w:num w:numId="22">
    <w:abstractNumId w:val="34"/>
  </w:num>
  <w:num w:numId="23">
    <w:abstractNumId w:val="5"/>
  </w:num>
  <w:num w:numId="24">
    <w:abstractNumId w:val="16"/>
  </w:num>
  <w:num w:numId="25">
    <w:abstractNumId w:val="17"/>
  </w:num>
  <w:num w:numId="26">
    <w:abstractNumId w:val="35"/>
  </w:num>
  <w:num w:numId="27">
    <w:abstractNumId w:val="11"/>
  </w:num>
  <w:num w:numId="28">
    <w:abstractNumId w:val="26"/>
  </w:num>
  <w:num w:numId="29">
    <w:abstractNumId w:val="33"/>
  </w:num>
  <w:num w:numId="30">
    <w:abstractNumId w:val="32"/>
  </w:num>
  <w:num w:numId="31">
    <w:abstractNumId w:val="7"/>
  </w:num>
  <w:num w:numId="32">
    <w:abstractNumId w:val="38"/>
  </w:num>
  <w:num w:numId="33">
    <w:abstractNumId w:val="29"/>
  </w:num>
  <w:num w:numId="34">
    <w:abstractNumId w:val="24"/>
  </w:num>
  <w:num w:numId="35">
    <w:abstractNumId w:val="28"/>
  </w:num>
  <w:num w:numId="36">
    <w:abstractNumId w:val="41"/>
  </w:num>
  <w:num w:numId="37">
    <w:abstractNumId w:val="6"/>
  </w:num>
  <w:num w:numId="38">
    <w:abstractNumId w:val="37"/>
  </w:num>
  <w:num w:numId="39">
    <w:abstractNumId w:val="39"/>
  </w:num>
  <w:num w:numId="40">
    <w:abstractNumId w:val="19"/>
  </w:num>
  <w:num w:numId="41">
    <w:abstractNumId w:val="10"/>
  </w:num>
  <w:num w:numId="42">
    <w:abstractNumId w:val="4"/>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399B"/>
    <w:rsid w:val="00025C0A"/>
    <w:rsid w:val="00032B76"/>
    <w:rsid w:val="00034B02"/>
    <w:rsid w:val="00041D24"/>
    <w:rsid w:val="00046905"/>
    <w:rsid w:val="0005130E"/>
    <w:rsid w:val="00052C63"/>
    <w:rsid w:val="00052CB0"/>
    <w:rsid w:val="00053254"/>
    <w:rsid w:val="00053923"/>
    <w:rsid w:val="0005456E"/>
    <w:rsid w:val="00067F05"/>
    <w:rsid w:val="00081341"/>
    <w:rsid w:val="00092FB6"/>
    <w:rsid w:val="000938C4"/>
    <w:rsid w:val="000A0D57"/>
    <w:rsid w:val="000A676E"/>
    <w:rsid w:val="000A7400"/>
    <w:rsid w:val="000B6015"/>
    <w:rsid w:val="000B6528"/>
    <w:rsid w:val="000D7781"/>
    <w:rsid w:val="000F034A"/>
    <w:rsid w:val="000F3666"/>
    <w:rsid w:val="000F448C"/>
    <w:rsid w:val="00100433"/>
    <w:rsid w:val="00122601"/>
    <w:rsid w:val="001303C7"/>
    <w:rsid w:val="00131BAD"/>
    <w:rsid w:val="00133C10"/>
    <w:rsid w:val="00135709"/>
    <w:rsid w:val="00141B6A"/>
    <w:rsid w:val="001508E5"/>
    <w:rsid w:val="00150CCB"/>
    <w:rsid w:val="00151730"/>
    <w:rsid w:val="00161FA6"/>
    <w:rsid w:val="00162E43"/>
    <w:rsid w:val="00164507"/>
    <w:rsid w:val="00164C40"/>
    <w:rsid w:val="00165C5A"/>
    <w:rsid w:val="00170B9B"/>
    <w:rsid w:val="00176CAE"/>
    <w:rsid w:val="0018679E"/>
    <w:rsid w:val="00192316"/>
    <w:rsid w:val="00194608"/>
    <w:rsid w:val="001A2814"/>
    <w:rsid w:val="001A2928"/>
    <w:rsid w:val="001A2D75"/>
    <w:rsid w:val="001B3DE5"/>
    <w:rsid w:val="001B62E2"/>
    <w:rsid w:val="001C24E4"/>
    <w:rsid w:val="001C2739"/>
    <w:rsid w:val="001D1C58"/>
    <w:rsid w:val="001D49B1"/>
    <w:rsid w:val="001D6B54"/>
    <w:rsid w:val="001D7401"/>
    <w:rsid w:val="001E18B4"/>
    <w:rsid w:val="001F20A4"/>
    <w:rsid w:val="00202FA0"/>
    <w:rsid w:val="00206C91"/>
    <w:rsid w:val="00207F48"/>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C2A13"/>
    <w:rsid w:val="002D435E"/>
    <w:rsid w:val="002D4474"/>
    <w:rsid w:val="002D687E"/>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B12A8"/>
    <w:rsid w:val="003C1C84"/>
    <w:rsid w:val="003C2756"/>
    <w:rsid w:val="003C6A76"/>
    <w:rsid w:val="003D208F"/>
    <w:rsid w:val="003D64D4"/>
    <w:rsid w:val="003E0FE7"/>
    <w:rsid w:val="003E36A3"/>
    <w:rsid w:val="003F310F"/>
    <w:rsid w:val="00416589"/>
    <w:rsid w:val="00416F28"/>
    <w:rsid w:val="00421A56"/>
    <w:rsid w:val="00422DE3"/>
    <w:rsid w:val="00455FAA"/>
    <w:rsid w:val="00457987"/>
    <w:rsid w:val="004672CD"/>
    <w:rsid w:val="00467B9B"/>
    <w:rsid w:val="00474C1C"/>
    <w:rsid w:val="004817E9"/>
    <w:rsid w:val="00483C2D"/>
    <w:rsid w:val="0049793A"/>
    <w:rsid w:val="004A63B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3C75"/>
    <w:rsid w:val="00527019"/>
    <w:rsid w:val="005366D6"/>
    <w:rsid w:val="00541BE3"/>
    <w:rsid w:val="00542BFC"/>
    <w:rsid w:val="00544F9B"/>
    <w:rsid w:val="00545845"/>
    <w:rsid w:val="00546AEC"/>
    <w:rsid w:val="00551DF1"/>
    <w:rsid w:val="00557917"/>
    <w:rsid w:val="005708AD"/>
    <w:rsid w:val="00574134"/>
    <w:rsid w:val="005810D1"/>
    <w:rsid w:val="00583165"/>
    <w:rsid w:val="00591229"/>
    <w:rsid w:val="005977FF"/>
    <w:rsid w:val="00597990"/>
    <w:rsid w:val="005A4DE6"/>
    <w:rsid w:val="005B2DC3"/>
    <w:rsid w:val="005B3884"/>
    <w:rsid w:val="005C55D6"/>
    <w:rsid w:val="005D06A9"/>
    <w:rsid w:val="005D5EB3"/>
    <w:rsid w:val="005E422E"/>
    <w:rsid w:val="00600069"/>
    <w:rsid w:val="00601828"/>
    <w:rsid w:val="006106B7"/>
    <w:rsid w:val="0062568E"/>
    <w:rsid w:val="00637313"/>
    <w:rsid w:val="006475F5"/>
    <w:rsid w:val="00651753"/>
    <w:rsid w:val="00662DAD"/>
    <w:rsid w:val="00680D0A"/>
    <w:rsid w:val="00683784"/>
    <w:rsid w:val="0068468C"/>
    <w:rsid w:val="00685424"/>
    <w:rsid w:val="00690EA1"/>
    <w:rsid w:val="006A0A27"/>
    <w:rsid w:val="006A3AC8"/>
    <w:rsid w:val="006A6308"/>
    <w:rsid w:val="006C313B"/>
    <w:rsid w:val="006C7232"/>
    <w:rsid w:val="006D03C7"/>
    <w:rsid w:val="006D7CA9"/>
    <w:rsid w:val="006E239E"/>
    <w:rsid w:val="006E25E8"/>
    <w:rsid w:val="006E2F96"/>
    <w:rsid w:val="006E637D"/>
    <w:rsid w:val="006F05D5"/>
    <w:rsid w:val="006F1412"/>
    <w:rsid w:val="00707604"/>
    <w:rsid w:val="00713D60"/>
    <w:rsid w:val="00720598"/>
    <w:rsid w:val="0072116E"/>
    <w:rsid w:val="00721DAE"/>
    <w:rsid w:val="0072285A"/>
    <w:rsid w:val="00727544"/>
    <w:rsid w:val="00733ED3"/>
    <w:rsid w:val="0073453E"/>
    <w:rsid w:val="00735CF1"/>
    <w:rsid w:val="0074046E"/>
    <w:rsid w:val="00760515"/>
    <w:rsid w:val="007753DD"/>
    <w:rsid w:val="00777281"/>
    <w:rsid w:val="00777E8D"/>
    <w:rsid w:val="007905B1"/>
    <w:rsid w:val="007923D6"/>
    <w:rsid w:val="00795798"/>
    <w:rsid w:val="007A1EBE"/>
    <w:rsid w:val="007A4C60"/>
    <w:rsid w:val="007C4B51"/>
    <w:rsid w:val="007D5468"/>
    <w:rsid w:val="007D6282"/>
    <w:rsid w:val="007D78B0"/>
    <w:rsid w:val="007E1479"/>
    <w:rsid w:val="007E71D2"/>
    <w:rsid w:val="007F06FE"/>
    <w:rsid w:val="007F2CBE"/>
    <w:rsid w:val="00802BB6"/>
    <w:rsid w:val="00812835"/>
    <w:rsid w:val="00813159"/>
    <w:rsid w:val="00813175"/>
    <w:rsid w:val="0081584B"/>
    <w:rsid w:val="00816F4D"/>
    <w:rsid w:val="00824102"/>
    <w:rsid w:val="0082432A"/>
    <w:rsid w:val="008334CE"/>
    <w:rsid w:val="00834904"/>
    <w:rsid w:val="008405C9"/>
    <w:rsid w:val="00843D2C"/>
    <w:rsid w:val="00844255"/>
    <w:rsid w:val="00862342"/>
    <w:rsid w:val="00864E4E"/>
    <w:rsid w:val="008707AC"/>
    <w:rsid w:val="0087706E"/>
    <w:rsid w:val="008839C1"/>
    <w:rsid w:val="008911F1"/>
    <w:rsid w:val="00892F78"/>
    <w:rsid w:val="0089643A"/>
    <w:rsid w:val="008B149E"/>
    <w:rsid w:val="008C0E34"/>
    <w:rsid w:val="008C4469"/>
    <w:rsid w:val="008D2AB3"/>
    <w:rsid w:val="008D4711"/>
    <w:rsid w:val="008D5638"/>
    <w:rsid w:val="008E118B"/>
    <w:rsid w:val="008F79F2"/>
    <w:rsid w:val="00900A36"/>
    <w:rsid w:val="009049AD"/>
    <w:rsid w:val="00905E0B"/>
    <w:rsid w:val="00913EFC"/>
    <w:rsid w:val="0092426C"/>
    <w:rsid w:val="009243B3"/>
    <w:rsid w:val="00934DE3"/>
    <w:rsid w:val="009521C5"/>
    <w:rsid w:val="009556D1"/>
    <w:rsid w:val="00955CC3"/>
    <w:rsid w:val="00956A7E"/>
    <w:rsid w:val="0096073F"/>
    <w:rsid w:val="00963831"/>
    <w:rsid w:val="00963907"/>
    <w:rsid w:val="00963CAE"/>
    <w:rsid w:val="00964812"/>
    <w:rsid w:val="00966530"/>
    <w:rsid w:val="00975F99"/>
    <w:rsid w:val="00980663"/>
    <w:rsid w:val="009A26F3"/>
    <w:rsid w:val="009A3B0A"/>
    <w:rsid w:val="009A6986"/>
    <w:rsid w:val="009B4D06"/>
    <w:rsid w:val="009D4BA6"/>
    <w:rsid w:val="009D61A0"/>
    <w:rsid w:val="009E1D16"/>
    <w:rsid w:val="009F12EC"/>
    <w:rsid w:val="00A01F44"/>
    <w:rsid w:val="00A10939"/>
    <w:rsid w:val="00A1673A"/>
    <w:rsid w:val="00A22BE1"/>
    <w:rsid w:val="00A22F3A"/>
    <w:rsid w:val="00A23EB5"/>
    <w:rsid w:val="00A26CF2"/>
    <w:rsid w:val="00A27344"/>
    <w:rsid w:val="00A3011E"/>
    <w:rsid w:val="00A31CB4"/>
    <w:rsid w:val="00A3420D"/>
    <w:rsid w:val="00A374F6"/>
    <w:rsid w:val="00A44404"/>
    <w:rsid w:val="00A44C00"/>
    <w:rsid w:val="00A571FB"/>
    <w:rsid w:val="00A60CBD"/>
    <w:rsid w:val="00A627FF"/>
    <w:rsid w:val="00A6794C"/>
    <w:rsid w:val="00AA0A34"/>
    <w:rsid w:val="00AC32BD"/>
    <w:rsid w:val="00AE25ED"/>
    <w:rsid w:val="00AE28C2"/>
    <w:rsid w:val="00AF2098"/>
    <w:rsid w:val="00AF3183"/>
    <w:rsid w:val="00B00737"/>
    <w:rsid w:val="00B106AE"/>
    <w:rsid w:val="00B2663E"/>
    <w:rsid w:val="00B322C0"/>
    <w:rsid w:val="00B34D34"/>
    <w:rsid w:val="00B40809"/>
    <w:rsid w:val="00B439B5"/>
    <w:rsid w:val="00B64CF9"/>
    <w:rsid w:val="00B65A9B"/>
    <w:rsid w:val="00B7123C"/>
    <w:rsid w:val="00B82791"/>
    <w:rsid w:val="00B84141"/>
    <w:rsid w:val="00B84E8E"/>
    <w:rsid w:val="00B8537F"/>
    <w:rsid w:val="00B85A43"/>
    <w:rsid w:val="00B8636D"/>
    <w:rsid w:val="00B8680B"/>
    <w:rsid w:val="00B87B5D"/>
    <w:rsid w:val="00B9336C"/>
    <w:rsid w:val="00BA1F92"/>
    <w:rsid w:val="00BB1B45"/>
    <w:rsid w:val="00BB2C93"/>
    <w:rsid w:val="00BB429C"/>
    <w:rsid w:val="00BB7CA9"/>
    <w:rsid w:val="00BC2F4F"/>
    <w:rsid w:val="00BC4DFB"/>
    <w:rsid w:val="00BD1A92"/>
    <w:rsid w:val="00BD5B75"/>
    <w:rsid w:val="00BE04A0"/>
    <w:rsid w:val="00BE4728"/>
    <w:rsid w:val="00BE4BA0"/>
    <w:rsid w:val="00C01120"/>
    <w:rsid w:val="00C01839"/>
    <w:rsid w:val="00C041EB"/>
    <w:rsid w:val="00C06CC1"/>
    <w:rsid w:val="00C06DC9"/>
    <w:rsid w:val="00C075AB"/>
    <w:rsid w:val="00C20C91"/>
    <w:rsid w:val="00C318C3"/>
    <w:rsid w:val="00C34231"/>
    <w:rsid w:val="00C35ACB"/>
    <w:rsid w:val="00C51CDC"/>
    <w:rsid w:val="00C608E8"/>
    <w:rsid w:val="00C62953"/>
    <w:rsid w:val="00C641F3"/>
    <w:rsid w:val="00C66625"/>
    <w:rsid w:val="00C6742B"/>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21912"/>
    <w:rsid w:val="00D23217"/>
    <w:rsid w:val="00D2347B"/>
    <w:rsid w:val="00D30FFF"/>
    <w:rsid w:val="00D42921"/>
    <w:rsid w:val="00D46EE1"/>
    <w:rsid w:val="00D60C7D"/>
    <w:rsid w:val="00D62509"/>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F7306"/>
    <w:rsid w:val="00E01C1B"/>
    <w:rsid w:val="00E01D16"/>
    <w:rsid w:val="00E02AB5"/>
    <w:rsid w:val="00E040F8"/>
    <w:rsid w:val="00E0617C"/>
    <w:rsid w:val="00E12B0B"/>
    <w:rsid w:val="00E136C4"/>
    <w:rsid w:val="00E15129"/>
    <w:rsid w:val="00E1591B"/>
    <w:rsid w:val="00E35306"/>
    <w:rsid w:val="00E3553B"/>
    <w:rsid w:val="00E416E1"/>
    <w:rsid w:val="00E437FD"/>
    <w:rsid w:val="00E44082"/>
    <w:rsid w:val="00E46B57"/>
    <w:rsid w:val="00E555CA"/>
    <w:rsid w:val="00E56486"/>
    <w:rsid w:val="00E6624D"/>
    <w:rsid w:val="00E70070"/>
    <w:rsid w:val="00E83696"/>
    <w:rsid w:val="00E92E7E"/>
    <w:rsid w:val="00E93687"/>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65DD"/>
    <w:rsid w:val="00F2366F"/>
    <w:rsid w:val="00F32EC7"/>
    <w:rsid w:val="00F34D21"/>
    <w:rsid w:val="00F37A45"/>
    <w:rsid w:val="00F416B5"/>
    <w:rsid w:val="00F5129F"/>
    <w:rsid w:val="00F52BD7"/>
    <w:rsid w:val="00F56CB3"/>
    <w:rsid w:val="00F603F6"/>
    <w:rsid w:val="00F771E0"/>
    <w:rsid w:val="00F84647"/>
    <w:rsid w:val="00FA14B4"/>
    <w:rsid w:val="00FA2335"/>
    <w:rsid w:val="00FA4BF5"/>
    <w:rsid w:val="00FB2486"/>
    <w:rsid w:val="00FB5AB4"/>
    <w:rsid w:val="00FD5044"/>
    <w:rsid w:val="00FE1A83"/>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647"/>
    <w:pPr>
      <w:spacing w:after="160" w:line="259" w:lineRule="auto"/>
    </w:pPr>
  </w:style>
  <w:style w:type="paragraph" w:styleId="Heading1">
    <w:name w:val="heading 1"/>
    <w:basedOn w:val="Normal"/>
    <w:next w:val="Normal"/>
    <w:link w:val="Heading1Char"/>
    <w:qFormat/>
    <w:rsid w:val="006837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83784"/>
    <w:pPr>
      <w:outlineLvl w:val="1"/>
    </w:pPr>
  </w:style>
  <w:style w:type="paragraph" w:styleId="Heading3">
    <w:name w:val="heading 3"/>
    <w:basedOn w:val="Normal"/>
    <w:next w:val="Normal"/>
    <w:link w:val="Heading3Char"/>
    <w:qFormat/>
    <w:rsid w:val="00683784"/>
    <w:pPr>
      <w:outlineLvl w:val="2"/>
    </w:pPr>
  </w:style>
  <w:style w:type="paragraph" w:styleId="Heading4">
    <w:name w:val="heading 4"/>
    <w:basedOn w:val="Normal"/>
    <w:next w:val="Normal"/>
    <w:link w:val="Heading4Char"/>
    <w:qFormat/>
    <w:rsid w:val="00683784"/>
    <w:pPr>
      <w:outlineLvl w:val="3"/>
    </w:pPr>
  </w:style>
  <w:style w:type="paragraph" w:styleId="Heading5">
    <w:name w:val="heading 5"/>
    <w:basedOn w:val="Normal"/>
    <w:next w:val="Normal"/>
    <w:link w:val="Heading5Char"/>
    <w:qFormat/>
    <w:rsid w:val="00683784"/>
    <w:pPr>
      <w:outlineLvl w:val="4"/>
    </w:pPr>
  </w:style>
  <w:style w:type="paragraph" w:styleId="Heading6">
    <w:name w:val="heading 6"/>
    <w:basedOn w:val="Normal"/>
    <w:next w:val="Normal"/>
    <w:link w:val="Heading6Char"/>
    <w:qFormat/>
    <w:rsid w:val="00683784"/>
    <w:pPr>
      <w:outlineLvl w:val="5"/>
    </w:pPr>
  </w:style>
  <w:style w:type="paragraph" w:styleId="Heading7">
    <w:name w:val="heading 7"/>
    <w:basedOn w:val="Normal"/>
    <w:next w:val="Normal"/>
    <w:link w:val="Heading7Char"/>
    <w:qFormat/>
    <w:rsid w:val="00683784"/>
    <w:pPr>
      <w:outlineLvl w:val="6"/>
    </w:pPr>
  </w:style>
  <w:style w:type="paragraph" w:styleId="Heading8">
    <w:name w:val="heading 8"/>
    <w:basedOn w:val="Normal"/>
    <w:next w:val="Normal"/>
    <w:link w:val="Heading8Char"/>
    <w:qFormat/>
    <w:rsid w:val="00683784"/>
    <w:pPr>
      <w:outlineLvl w:val="7"/>
    </w:pPr>
  </w:style>
  <w:style w:type="paragraph" w:styleId="Heading9">
    <w:name w:val="heading 9"/>
    <w:basedOn w:val="Normal"/>
    <w:next w:val="Normal"/>
    <w:link w:val="Heading9Char"/>
    <w:qFormat/>
    <w:rsid w:val="0068378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5A"/>
    <w:pPr>
      <w:spacing w:after="200" w:line="276" w:lineRule="auto"/>
      <w:ind w:left="720"/>
      <w:contextualSpacing/>
    </w:pPr>
    <w:rPr>
      <w:rFonts w:ascii="Calibri" w:hAnsi="Calibri"/>
    </w:rPr>
  </w:style>
  <w:style w:type="paragraph" w:styleId="FootnoteText">
    <w:name w:val="footnote text"/>
    <w:basedOn w:val="Normal"/>
    <w:link w:val="FootnoteTextChar"/>
    <w:unhideWhenUsed/>
    <w:qFormat/>
    <w:rsid w:val="00683784"/>
    <w:pPr>
      <w:spacing w:line="240" w:lineRule="auto"/>
    </w:pPr>
    <w:rPr>
      <w:sz w:val="20"/>
      <w:szCs w:val="20"/>
    </w:rPr>
  </w:style>
  <w:style w:type="character" w:customStyle="1" w:styleId="FootnoteTextChar">
    <w:name w:val="Footnote Text Char"/>
    <w:basedOn w:val="DefaultParagraphFont"/>
    <w:link w:val="FootnoteText"/>
    <w:rsid w:val="007E71D2"/>
    <w:rPr>
      <w:sz w:val="20"/>
      <w:szCs w:val="20"/>
      <w:lang w:val="el-GR"/>
    </w:rPr>
  </w:style>
  <w:style w:type="character" w:styleId="FootnoteReference">
    <w:name w:val="footnote reference"/>
    <w:basedOn w:val="DefaultParagraphFont"/>
    <w:unhideWhenUsed/>
    <w:qFormat/>
    <w:rsid w:val="00683784"/>
    <w:rPr>
      <w:vertAlign w:val="superscript"/>
    </w:rPr>
  </w:style>
  <w:style w:type="character" w:styleId="CommentReference">
    <w:name w:val="annotation reference"/>
    <w:basedOn w:val="DefaultParagraphFont"/>
    <w:uiPriority w:val="99"/>
    <w:semiHidden/>
    <w:unhideWhenUsed/>
    <w:rsid w:val="007A4C60"/>
    <w:rPr>
      <w:sz w:val="16"/>
      <w:szCs w:val="16"/>
    </w:rPr>
  </w:style>
  <w:style w:type="paragraph" w:styleId="CommentText">
    <w:name w:val="annotation text"/>
    <w:basedOn w:val="Normal"/>
    <w:link w:val="CommentTextChar"/>
    <w:semiHidden/>
    <w:unhideWhenUsed/>
    <w:rsid w:val="007A4C60"/>
    <w:pPr>
      <w:spacing w:line="240" w:lineRule="auto"/>
    </w:pPr>
    <w:rPr>
      <w:sz w:val="20"/>
      <w:szCs w:val="20"/>
    </w:rPr>
  </w:style>
  <w:style w:type="character" w:customStyle="1" w:styleId="CommentTextChar">
    <w:name w:val="Comment Text Char"/>
    <w:basedOn w:val="DefaultParagraphFont"/>
    <w:link w:val="CommentText"/>
    <w:semiHidden/>
    <w:rsid w:val="007A4C60"/>
    <w:rPr>
      <w:rFonts w:ascii="Times New Roman" w:eastAsia="Times New Roman" w:hAnsi="Times New Roman" w:cs="Times New Roman"/>
      <w:sz w:val="20"/>
      <w:szCs w:val="20"/>
      <w:lang w:val="el-GR"/>
    </w:rPr>
  </w:style>
  <w:style w:type="paragraph" w:styleId="CommentSubject">
    <w:name w:val="annotation subject"/>
    <w:basedOn w:val="CommentText"/>
    <w:next w:val="CommentText"/>
    <w:link w:val="CommentSubjectChar"/>
    <w:uiPriority w:val="99"/>
    <w:semiHidden/>
    <w:unhideWhenUsed/>
    <w:rsid w:val="007A4C60"/>
    <w:rPr>
      <w:b/>
      <w:bCs/>
    </w:rPr>
  </w:style>
  <w:style w:type="character" w:customStyle="1" w:styleId="CommentSubjectChar">
    <w:name w:val="Comment Subject Char"/>
    <w:basedOn w:val="CommentTextChar"/>
    <w:link w:val="CommentSubject"/>
    <w:uiPriority w:val="99"/>
    <w:semiHidden/>
    <w:rsid w:val="007A4C60"/>
    <w:rPr>
      <w:rFonts w:ascii="Times New Roman" w:eastAsia="Times New Roman" w:hAnsi="Times New Roman" w:cs="Times New Roman"/>
      <w:b/>
      <w:bCs/>
      <w:sz w:val="20"/>
      <w:szCs w:val="20"/>
      <w:lang w:val="el-GR"/>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A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60"/>
    <w:rPr>
      <w:rFonts w:ascii="Tahoma" w:eastAsia="Times New Roman" w:hAnsi="Tahoma" w:cs="Tahoma"/>
      <w:sz w:val="16"/>
      <w:szCs w:val="16"/>
      <w:lang w:val="el-GR"/>
    </w:rPr>
  </w:style>
  <w:style w:type="character" w:customStyle="1" w:styleId="normaltextrun">
    <w:name w:val="normaltextrun"/>
    <w:basedOn w:val="DefaultParagraphFont"/>
    <w:rsid w:val="00F12A32"/>
  </w:style>
  <w:style w:type="character" w:customStyle="1" w:styleId="eop">
    <w:name w:val="eop"/>
    <w:basedOn w:val="DefaultParagraphFont"/>
    <w:rsid w:val="00F12A32"/>
  </w:style>
  <w:style w:type="character" w:customStyle="1" w:styleId="spellingerror">
    <w:name w:val="spellingerror"/>
    <w:basedOn w:val="DefaultParagraphFont"/>
    <w:rsid w:val="00CC0748"/>
  </w:style>
  <w:style w:type="paragraph" w:styleId="Header">
    <w:name w:val="header"/>
    <w:basedOn w:val="Normal"/>
    <w:link w:val="HeaderChar"/>
    <w:unhideWhenUsed/>
    <w:qFormat/>
    <w:rsid w:val="00683784"/>
    <w:pPr>
      <w:tabs>
        <w:tab w:val="center" w:pos="4153"/>
        <w:tab w:val="right" w:pos="8306"/>
      </w:tabs>
      <w:spacing w:line="240" w:lineRule="auto"/>
    </w:pPr>
  </w:style>
  <w:style w:type="character" w:customStyle="1" w:styleId="HeaderChar">
    <w:name w:val="Header Char"/>
    <w:basedOn w:val="DefaultParagraphFont"/>
    <w:link w:val="Header"/>
    <w:rsid w:val="00EB1C0F"/>
    <w:rPr>
      <w:lang w:val="el-GR"/>
    </w:rPr>
  </w:style>
  <w:style w:type="paragraph" w:styleId="Footer">
    <w:name w:val="footer"/>
    <w:basedOn w:val="Normal"/>
    <w:link w:val="FooterChar"/>
    <w:unhideWhenUsed/>
    <w:qFormat/>
    <w:rsid w:val="00683784"/>
    <w:pPr>
      <w:tabs>
        <w:tab w:val="center" w:pos="4153"/>
        <w:tab w:val="right" w:pos="8306"/>
      </w:tabs>
      <w:spacing w:line="240" w:lineRule="auto"/>
    </w:pPr>
  </w:style>
  <w:style w:type="character" w:customStyle="1" w:styleId="FooterChar">
    <w:name w:val="Footer Char"/>
    <w:basedOn w:val="DefaultParagraphFont"/>
    <w:link w:val="Footer"/>
    <w:rsid w:val="00EB1C0F"/>
    <w:rPr>
      <w:lang w:val="el-GR"/>
    </w:rPr>
  </w:style>
  <w:style w:type="character" w:customStyle="1" w:styleId="Heading1Char">
    <w:name w:val="Heading 1 Char"/>
    <w:basedOn w:val="DefaultParagraphFont"/>
    <w:link w:val="Heading1"/>
    <w:rsid w:val="00CE5349"/>
    <w:rPr>
      <w:rFonts w:asciiTheme="majorHAnsi" w:eastAsiaTheme="majorEastAsia" w:hAnsiTheme="majorHAnsi" w:cstheme="majorBidi"/>
      <w:color w:val="365F91" w:themeColor="accent1" w:themeShade="BF"/>
      <w:sz w:val="32"/>
      <w:szCs w:val="32"/>
      <w:lang w:val="el-GR"/>
    </w:rPr>
  </w:style>
  <w:style w:type="paragraph" w:styleId="Subtitle">
    <w:name w:val="Subtitle"/>
    <w:basedOn w:val="Normal"/>
    <w:next w:val="Normal"/>
    <w:link w:val="SubtitleChar"/>
    <w:uiPriority w:val="11"/>
    <w:qFormat/>
    <w:rsid w:val="005B2D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B2DC3"/>
    <w:rPr>
      <w:rFonts w:eastAsiaTheme="minorEastAsia"/>
      <w:color w:val="5A5A5A" w:themeColor="text1" w:themeTint="A5"/>
      <w:spacing w:val="15"/>
      <w:lang w:val="el-GR"/>
    </w:rPr>
  </w:style>
  <w:style w:type="character" w:styleId="Hyperlink">
    <w:name w:val="Hyperlink"/>
    <w:basedOn w:val="DefaultParagraphFont"/>
    <w:uiPriority w:val="99"/>
    <w:unhideWhenUsed/>
    <w:rsid w:val="00014E6A"/>
    <w:rPr>
      <w:color w:val="0000FF"/>
      <w:u w:val="single"/>
    </w:rPr>
  </w:style>
  <w:style w:type="character" w:customStyle="1" w:styleId="Heading2Char">
    <w:name w:val="Heading 2 Char"/>
    <w:basedOn w:val="DefaultParagraphFont"/>
    <w:link w:val="Heading2"/>
    <w:rsid w:val="00A31CB4"/>
    <w:rPr>
      <w:lang w:val="el-GR"/>
    </w:rPr>
  </w:style>
  <w:style w:type="character" w:customStyle="1" w:styleId="Heading3Char">
    <w:name w:val="Heading 3 Char"/>
    <w:basedOn w:val="DefaultParagraphFont"/>
    <w:link w:val="Heading3"/>
    <w:rsid w:val="00A31CB4"/>
    <w:rPr>
      <w:lang w:val="el-GR"/>
    </w:rPr>
  </w:style>
  <w:style w:type="character" w:customStyle="1" w:styleId="Heading4Char">
    <w:name w:val="Heading 4 Char"/>
    <w:basedOn w:val="DefaultParagraphFont"/>
    <w:link w:val="Heading4"/>
    <w:rsid w:val="00A31CB4"/>
    <w:rPr>
      <w:lang w:val="el-GR"/>
    </w:rPr>
  </w:style>
  <w:style w:type="character" w:customStyle="1" w:styleId="Heading5Char">
    <w:name w:val="Heading 5 Char"/>
    <w:basedOn w:val="DefaultParagraphFont"/>
    <w:link w:val="Heading5"/>
    <w:rsid w:val="00A31CB4"/>
    <w:rPr>
      <w:lang w:val="el-GR"/>
    </w:rPr>
  </w:style>
  <w:style w:type="character" w:customStyle="1" w:styleId="Heading6Char">
    <w:name w:val="Heading 6 Char"/>
    <w:basedOn w:val="DefaultParagraphFont"/>
    <w:link w:val="Heading6"/>
    <w:rsid w:val="00A31CB4"/>
    <w:rPr>
      <w:lang w:val="el-GR"/>
    </w:rPr>
  </w:style>
  <w:style w:type="character" w:customStyle="1" w:styleId="Heading7Char">
    <w:name w:val="Heading 7 Char"/>
    <w:basedOn w:val="DefaultParagraphFont"/>
    <w:link w:val="Heading7"/>
    <w:rsid w:val="00A31CB4"/>
    <w:rPr>
      <w:lang w:val="el-GR"/>
    </w:rPr>
  </w:style>
  <w:style w:type="character" w:customStyle="1" w:styleId="Heading8Char">
    <w:name w:val="Heading 8 Char"/>
    <w:basedOn w:val="DefaultParagraphFont"/>
    <w:link w:val="Heading8"/>
    <w:rsid w:val="00A31CB4"/>
    <w:rPr>
      <w:lang w:val="el-GR"/>
    </w:rPr>
  </w:style>
  <w:style w:type="character" w:customStyle="1" w:styleId="Heading9Char">
    <w:name w:val="Heading 9 Char"/>
    <w:basedOn w:val="DefaultParagraphFont"/>
    <w:link w:val="Heading9"/>
    <w:rsid w:val="00A31CB4"/>
    <w:rPr>
      <w:lang w:val="el-GR"/>
    </w:rPr>
  </w:style>
  <w:style w:type="paragraph" w:customStyle="1" w:styleId="quotes">
    <w:name w:val="quotes"/>
    <w:basedOn w:val="Normal"/>
    <w:next w:val="Normal"/>
    <w:rsid w:val="00A31CB4"/>
    <w:pPr>
      <w:ind w:left="720"/>
    </w:pPr>
    <w:rPr>
      <w:i/>
    </w:rPr>
  </w:style>
  <w:style w:type="character" w:styleId="FollowedHyperlink">
    <w:name w:val="FollowedHyperlink"/>
    <w:basedOn w:val="DefaultParagraphFont"/>
    <w:uiPriority w:val="99"/>
    <w:semiHidden/>
    <w:unhideWhenUsed/>
    <w:rsid w:val="007205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5" Type="http://schemas.microsoft.com/office/2016/09/relationships/commentsIds" Target="commentsIds.xml"/><Relationship Id="rId16"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hyperlink" Target="https://s3platform.jrc.ec.europa.eu/social-economy" TargetMode="External"/><Relationship Id="rId28" Type="http://schemas.openxmlformats.org/officeDocument/2006/relationships/customXml" Target="../customXml/item3.xml"/><Relationship Id="rId10" Type="http://schemas.openxmlformats.org/officeDocument/2006/relationships/footnotes" Target="footnotes.xml"/><Relationship Id="rId9" Type="http://schemas.openxmlformats.org/officeDocument/2006/relationships/webSettings" Target="webSettings.xml"/><Relationship Id="rId14" Type="http://schemas.openxmlformats.org/officeDocument/2006/relationships/hyperlink" Target="https://www.europeanjobdays.eu/en"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12:102:0006:0010:EL:PDF" TargetMode="External"/><Relationship Id="rId1" Type="http://schemas.openxmlformats.org/officeDocument/2006/relationships/hyperlink" Target="https://ec.europa.eu/commission/sites/beta-political/files/reflection-paper-social-dimension-europe_el.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3T5AXJEHYTWU-1246943346-5758</_dlc_DocId>
    <_dlc_DocIdUrl xmlns="0b452354-65a4-4dd6-8824-e6b830247e3e">
      <Url>http://dm2016/cor/2020/_layouts/15/DocIdRedir.aspx?ID=3T5AXJEHYTWU-1246943346-5758</Url>
      <Description>3T5AXJEHYTWU-1246943346-5758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2020-11-24T12:00:00+00:00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E8FC9160-31F2-4B84-99EB-E0B492E51C9D}"/>
</file>

<file path=customXml/itemProps2.xml><?xml version="1.0" encoding="utf-8"?>
<ds:datastoreItem xmlns:ds="http://schemas.openxmlformats.org/officeDocument/2006/customXml" ds:itemID="{9C17F157-B4A9-48E8-9153-320CB473A048}"/>
</file>

<file path=customXml/itemProps3.xml><?xml version="1.0" encoding="utf-8"?>
<ds:datastoreItem xmlns:ds="http://schemas.openxmlformats.org/officeDocument/2006/customXml" ds:itemID="{BF8E4AE7-D1D1-44EA-9001-6210CF6BAB94}"/>
</file>

<file path=customXml/itemProps4.xml><?xml version="1.0" encoding="utf-8"?>
<ds:datastoreItem xmlns:ds="http://schemas.openxmlformats.org/officeDocument/2006/customXml" ds:itemID="{78582775-1313-4F03-8880-8986C8B9AAE0}"/>
</file>

<file path=docProps/app.xml><?xml version="1.0" encoding="utf-8"?>
<Properties xmlns="http://schemas.openxmlformats.org/officeDocument/2006/extended-properties" xmlns:vt="http://schemas.openxmlformats.org/officeDocument/2006/docPropsVTypes">
  <Template>Styles</Template>
  <TotalTime>10</TotalTime>
  <Pages>10</Pages>
  <Words>3124</Words>
  <Characters>17811</Characters>
  <Application>Microsoft Office Word</Application>
  <DocSecurity>0</DocSecurity>
  <Lines>148</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20894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Κοινό έγγραφο ΕτΠ - ΓΔ EMPL: Τομείς ενισχυμένης συνεργασίας </dc:title>
  <dc:subject>Συμβουλευτικές εργασίες, διάφορα</dc:subject>
  <dc:creator>Thomas Wobben</dc:creator>
  <cp:keywords>COR-2020-04835-00-01-TCD-TRA-EN</cp:keywords>
  <dc:description>Rapporteur:  - Original language: EN - Date of document: 24/11/2020 - Date of meeting: 25/11/2020 - External documents:  - Administrator:  PETRAS Georgios</dc:description>
  <cp:lastModifiedBy>Diomidous Stella</cp:lastModifiedBy>
  <cp:revision>6</cp:revision>
  <cp:lastPrinted>2020-10-07T12:59:00Z</cp:lastPrinted>
  <dcterms:created xsi:type="dcterms:W3CDTF">2020-11-17T16:19:00Z</dcterms:created>
  <dcterms:modified xsi:type="dcterms:W3CDTF">2020-11-24T10:37:00Z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d678419f-7bd9-4c45-aa10-433575032962</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4835</vt:i4>
  </property>
  <property fmtid="{D5CDD505-2E9C-101B-9397-08002B2CF9AE}" pid="15" name="FicheYear">
    <vt:i4>2020</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22;#TCD|cd9d6eb6-3f4f-424a-b2d1-57c9d450eaaf</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LV|46f7e311-5d9f-4663-b433-18aeccb7ace7;FR|d2afafd3-4c81-4f60-8f52-ee33f2f54ff3;ES|e7a6b05b-ae16-40c8-add9-68b64b03aeba;FI|87606a43-d45f-42d6-b8c9-e1a3457db5b7;CS|72f9705b-0217-4fd3-bea2-cbc7ed80e26e;LT|a7ff5ce7-6123-4f68-865a-a57c31810414;PT|50ccc04a-eadd-42ae-a0cb-acaf45f812ba;HR|2f555653-ed1a-4fe6-8362-9082d95989e5;RO|feb747a2-64cd-4299-af12-4833ddc30497;MT|7df99101-6854-4a26-b53a-b88c0da02c26;NL|55c6556c-b4f4-441d-9acf-c498d4f838bd;DE|f6b31e5a-26fa-4935-b661-318e46daf27e;DA|5d49c027-8956-412b-aa16-e85a0f96ad0e;HU|6b229040-c589-4408-b4c1-4285663d20a8;SL|98a412ae-eb01-49e9-ae3d-585a81724cfc;PL|1e03da61-4678-4e07-b136-b5024ca9197b;BG|1a1b3951-7821-4e6a-85f5-5673fc08bd2c;SV|c2ed69e7-a339-43d7-8f22-d93680a92aa0;ET|ff6c3f4c-b02c-4c3c-ab07-2c37995a7a0a;IT|0774613c-01ed-4e5d-a25d-11d2388de825;SK|46d9fce0-ef79-4f71-b89b-cd6aa82426b8;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50;#SEDEC-VII|2234d809-5ab4-4b5b-84d4-8dd3531523c3;#38;#RO|feb747a2-64cd-4299-af12-4833ddc30497;#37;#BG|1a1b3951-7821-4e6a-85f5-5673fc08bd2c;#36;#FI|87606a43-d45f-42d6-b8c9-e1a3457db5b7;#35;#PT|50ccc04a-eadd-42ae-a0cb-acaf45f812ba;#34;#CS|72f9705b-0217-4fd3-bea2-cbc7ed80e26e;#31;#LV|46f7e311-5d9f-4663-b433-18aeccb7ace7;#30;#DA|5d49c027-8956-412b-aa16-e85a0f96ad0e;#29;#SV|c2ed69e7-a339-43d7-8f22-d93680a92aa0;#27;#HU|6b229040-c589-4408-b4c1-4285663d20a8;#26;#SL|98a412ae-eb01-49e9-ae3d-585a81724cfc;#25;#ET|ff6c3f4c-b02c-4c3c-ab07-2c37995a7a0a;#23;#DE|f6b31e5a-26fa-4935-b661-318e46daf27e;#22;#TCD|cd9d6eb6-3f4f-424a-b2d1-57c9d450eaaf;#19;#LT|a7ff5ce7-6123-4f68-865a-a57c31810414;#18;#NL|55c6556c-b4f4-441d-9acf-c498d4f838bd;#17;#PL|1e03da61-4678-4e07-b136-b5024ca9197b;#16;#ES|e7a6b05b-ae16-40c8-add9-68b64b03aeba;#15;#SK|46d9fce0-ef79-4f71-b89b-cd6aa82426b8;#14;#MT|7df99101-6854-4a26-b53a-b88c0da02c26;#13;#HR|2f555653-ed1a-4fe6-8362-9082d95989e5;#11;#IT|0774613c-01ed-4e5d-a25d-11d2388de825;#8;#TRA|150d2a88-1431-44e6-a8ca-0bb753ab8672;#7;#EN|f2175f21-25d7-44a3-96da-d6a61b075e1b;#6;#Final|ea5e6674-7b27-4bac-b091-73adbb394efe;#5;#Unrestricted|826e22d7-d029-4ec0-a450-0c28ff673572;#4;#FR|d2afafd3-4c81-4f60-8f52-ee33f2f54ff3;#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12567</vt:i4>
  </property>
  <property fmtid="{D5CDD505-2E9C-101B-9397-08002B2CF9AE}" pid="38" name="DocumentLanguage">
    <vt:lpwstr>12;#EL|6d4f4d51-af9b-4650-94b4-4276bee85c91</vt:lpwstr>
  </property>
</Properties>
</file>