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docProps/core.xml" ContentType="application/vnd.openxmlformats-package.core-properties+xml"/>
  <Override PartName="/word/webSettings.xml" ContentType="application/vnd.openxmlformats-officedocument.wordprocessingml.webSettings+xml"/>
  <Override PartName="/word/styles.xml" ContentType="application/vnd.openxmlformats-officedocument.wordprocessingml.styles+xml"/>
  <Override PartName="/word/commentsExtensible.xml" ContentType="application/vnd.openxmlformats-officedocument.wordprocessingml.commentsExtensible+xml"/>
  <Override PartName="/word/commentsIds.xml" ContentType="application/vnd.openxmlformats-officedocument.wordprocessingml.commentsId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7B5D" w:rsidRPr="003814FB" w:rsidRDefault="0023381A" w:rsidP="00151730">
      <w:pPr>
        <w:rPr>
          <w:b/>
          <w:sz w:val="36"/>
          <w:szCs w:val="36"/>
          <w:u w:val="single"/>
        </w:rPr>
      </w:pPr>
      <w:r>
        <w:rPr>
          <w:noProof/>
          <w:lang w:val="en-US"/>
        </w:rPr>
        <w:drawing>
          <wp:anchor distT="0" distB="0" distL="114300" distR="114300" simplePos="0" relativeHeight="251658240" behindDoc="0" locked="0" layoutInCell="1" allowOverlap="1" wp14:anchorId="7062ED57" wp14:editId="16948DED">
            <wp:simplePos x="0" y="0"/>
            <wp:positionH relativeFrom="margin">
              <wp:align>right</wp:align>
            </wp:positionH>
            <wp:positionV relativeFrom="paragraph">
              <wp:posOffset>0</wp:posOffset>
            </wp:positionV>
            <wp:extent cx="1202400" cy="925200"/>
            <wp:effectExtent l="0" t="0" r="0" b="8255"/>
            <wp:wrapNone/>
            <wp:docPr id="5" name="Picture 5" descr="LOGO-CE for Word EN Posi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E for Word EN Positive"/>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02400" cy="925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5403B" w:rsidRPr="00242B1B">
        <w:rPr>
          <w:bCs/>
          <w:noProof/>
          <w:sz w:val="20"/>
          <w:lang w:val="en-US"/>
        </w:rPr>
        <w:drawing>
          <wp:inline distT="0" distB="0" distL="0" distR="0" wp14:anchorId="2B53DBC5" wp14:editId="4B22CC50">
            <wp:extent cx="803404" cy="94312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CoR-vertical-positive-es-quadri_HR letterhead.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871585" cy="1023164"/>
                    </a:xfrm>
                    <a:prstGeom prst="rect">
                      <a:avLst/>
                    </a:prstGeom>
                  </pic:spPr>
                </pic:pic>
              </a:graphicData>
            </a:graphic>
          </wp:inline>
        </w:drawing>
      </w:r>
      <w:bookmarkStart w:id="0" w:name="_GoBack"/>
      <w:bookmarkEnd w:id="0"/>
    </w:p>
    <w:p w:rsidR="00B87B5D" w:rsidRPr="003814FB" w:rsidRDefault="00C82EBC">
      <w:pPr>
        <w:jc w:val="center"/>
        <w:rPr>
          <w:b/>
          <w:sz w:val="36"/>
          <w:szCs w:val="36"/>
          <w:u w:val="single"/>
        </w:rPr>
      </w:pPr>
      <w:r>
        <w:rPr>
          <w:b/>
          <w:noProof/>
          <w:sz w:val="20"/>
          <w:szCs w:val="36"/>
          <w:u w:val="single"/>
          <w:lang w:val="en-US"/>
        </w:rPr>
        <mc:AlternateContent>
          <mc:Choice Requires="wps">
            <w:drawing>
              <wp:anchor distT="0" distB="0" distL="114300" distR="114300" simplePos="0" relativeHeight="251664384" behindDoc="1" locked="0" layoutInCell="0" allowOverlap="1" wp14:anchorId="0A16B62C" wp14:editId="245779F2">
                <wp:simplePos x="0" y="0"/>
                <wp:positionH relativeFrom="page">
                  <wp:posOffset>6769100</wp:posOffset>
                </wp:positionH>
                <wp:positionV relativeFrom="page">
                  <wp:posOffset>10081260</wp:posOffset>
                </wp:positionV>
                <wp:extent cx="647700" cy="396240"/>
                <wp:effectExtent l="0" t="3810" r="3175" b="0"/>
                <wp:wrapNone/>
                <wp:docPr id="1"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2EBC" w:rsidRPr="00260E65" w:rsidRDefault="00C82EBC">
                            <w:pPr>
                              <w:jc w:val="center"/>
                              <w:rPr>
                                <w:rFonts w:ascii="Arial" w:hAnsi="Arial" w:cs="Arial"/>
                                <w:b/>
                                <w:bCs/>
                                <w:sz w:val="48"/>
                              </w:rPr>
                            </w:pPr>
                            <w:r>
                              <w:rPr>
                                <w:rFonts w:ascii="Arial" w:hAnsi="Arial"/>
                                <w:b/>
                                <w:bCs/>
                                <w:sz w:val="48"/>
                              </w:rPr>
                              <w:t>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16B62C" id="_x0000_t202" coordsize="21600,21600" o:spt="202" path="m,l,21600r21600,l21600,xe">
                <v:stroke joinstyle="miter"/>
                <v:path gradientshapeok="t" o:connecttype="rect"/>
              </v:shapetype>
              <v:shape id="Text Box 17" o:spid="_x0000_s1026" type="#_x0000_t202" style="position:absolute;left:0;text-align:left;margin-left:533pt;margin-top:793.8pt;width:51pt;height:31.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tl0EtQIAALk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" o:allowincell="f" filled="f" stroked="f">
                <v:textbox>
                  <w:txbxContent>
                    <w:p w:rsidR="00C82EBC" w:rsidRPr="00260E65" w:rsidRDefault="00C82EBC">
                      <w:pPr>
                        <w:jc w:val="center"/>
                        <w:rPr>
                          <w:rFonts w:ascii="Arial" w:hAnsi="Arial" w:cs="Arial"/>
                          <w:b/>
                          <w:bCs/>
                          <w:sz w:val="48"/>
                        </w:rPr>
                      </w:pPr>
                      <w:r>
                        <w:rPr>
                          <w:rFonts w:ascii="Arial" w:hAnsi="Arial"/>
                          <w:b/>
                          <w:bCs/>
                          <w:sz w:val="48"/>
                        </w:rPr>
                        <w:t>ES</w:t>
                      </w:r>
                    </w:p>
                  </w:txbxContent>
                </v:textbox>
                <w10:wrap anchorx="page" anchory="page"/>
              </v:shape>
            </w:pict>
          </mc:Fallback>
        </mc:AlternateContent>
      </w:r>
    </w:p>
    <w:p w:rsidR="0072285A" w:rsidRPr="003814FB" w:rsidRDefault="00C34231">
      <w:pPr>
        <w:jc w:val="center"/>
        <w:rPr>
          <w:b/>
          <w:sz w:val="36"/>
          <w:u w:val="single"/>
        </w:rPr>
      </w:pPr>
      <w:r>
        <w:rPr>
          <w:b/>
          <w:sz w:val="36"/>
          <w:u w:val="single"/>
        </w:rPr>
        <w:t>Ámbitos de cooperación reforzada</w:t>
      </w:r>
      <w:r>
        <w:rPr>
          <w:b/>
          <w:sz w:val="36"/>
          <w:u w:val="single"/>
        </w:rPr>
        <w:br/>
        <w:t>entre el Comité Europeo de las Regiones (CDR) y la Dirección General de Empleo y Asuntos Sociales (DG EMPL) de la Comisión Europea</w:t>
      </w:r>
    </w:p>
    <w:p w:rsidR="001C24E4" w:rsidRPr="003814FB" w:rsidRDefault="001C24E4">
      <w:pPr>
        <w:jc w:val="center"/>
        <w:rPr>
          <w:b/>
          <w:sz w:val="36"/>
          <w:szCs w:val="36"/>
          <w:u w:val="single"/>
          <w:lang w:val="en-GB"/>
        </w:rPr>
      </w:pPr>
    </w:p>
    <w:p w:rsidR="009521C5" w:rsidRPr="007D6282" w:rsidRDefault="009521C5" w:rsidP="007D6282">
      <w:pPr>
        <w:pStyle w:val="Heading1"/>
        <w:numPr>
          <w:ilvl w:val="0"/>
          <w:numId w:val="22"/>
        </w:numPr>
        <w:ind w:left="567" w:hanging="567"/>
        <w:rPr>
          <w:rFonts w:ascii="Times New Roman" w:hAnsi="Times New Roman"/>
          <w:b/>
          <w:color w:val="auto"/>
          <w:sz w:val="24"/>
        </w:rPr>
      </w:pPr>
      <w:r>
        <w:rPr>
          <w:rFonts w:ascii="Times New Roman" w:hAnsi="Times New Roman"/>
          <w:b/>
          <w:color w:val="auto"/>
          <w:sz w:val="24"/>
        </w:rPr>
        <w:t>Introducción</w:t>
      </w:r>
    </w:p>
    <w:p w:rsidR="00014693" w:rsidRPr="007D6282" w:rsidRDefault="00014693">
      <w:pPr>
        <w:rPr>
          <w:sz w:val="24"/>
          <w:szCs w:val="24"/>
          <w:lang w:val="en-GB"/>
        </w:rPr>
      </w:pPr>
    </w:p>
    <w:p w:rsidR="00014E6A" w:rsidRPr="007D6282" w:rsidRDefault="00C82EBC">
      <w:pPr>
        <w:rPr>
          <w:color w:val="000000"/>
        </w:rPr>
      </w:pPr>
      <w:r>
        <w:t>Está claro, y no solo desde la crisis de la COVID-19, que una «Europa social» es fundamental para la contribución de la UE a unas sociedades democráticas, cohesivas, culturalmente diversas y prósperas. Implica progreso económico y social, luchar contra la discriminación y la exclusión social, preparar a los europeos para el mercado de trabajo y permitirles vivir vidas plenas</w:t>
      </w:r>
      <w:r w:rsidR="00014E6A" w:rsidRPr="007D6282">
        <w:rPr>
          <w:rStyle w:val="FootnoteReference"/>
          <w:lang w:val="en-GB"/>
        </w:rPr>
        <w:footnoteReference w:id="2"/>
      </w:r>
      <w:r>
        <w:t xml:space="preserve">. </w:t>
      </w:r>
    </w:p>
    <w:p w:rsidR="00014E6A" w:rsidRPr="007D6282" w:rsidRDefault="00014E6A">
      <w:pPr>
        <w:rPr>
          <w:color w:val="000000"/>
          <w:lang w:val="en-GB"/>
        </w:rPr>
      </w:pPr>
    </w:p>
    <w:p w:rsidR="00014E6A" w:rsidRPr="003814FB" w:rsidRDefault="00014E6A" w:rsidP="005D5EB3">
      <w:pPr>
        <w:jc w:val="both"/>
      </w:pPr>
      <w:r>
        <w:t xml:space="preserve">Si bien el Comité Europeo de las Regiones (CDR) y la Dirección General de Empleo, Asuntos Sociales e Inclusión (DG EMPL) han cooperado en varios ámbitos en el pasado, es evidente, no obstante, que los desafíos futuros y el marcado interés del comisario responsable brindan una oportunidad para llevar a un nuevo nivel la cooperación en este campo entre la Comisión y el CDR. </w:t>
      </w:r>
    </w:p>
    <w:p w:rsidR="00014E6A" w:rsidRPr="003814FB" w:rsidRDefault="00014E6A">
      <w:pPr>
        <w:rPr>
          <w:lang w:val="en-GB"/>
        </w:rPr>
      </w:pPr>
    </w:p>
    <w:p w:rsidR="00014E6A" w:rsidRPr="007D6282" w:rsidRDefault="00014E6A" w:rsidP="007D6282">
      <w:pPr>
        <w:pStyle w:val="ListParagraph"/>
        <w:numPr>
          <w:ilvl w:val="0"/>
          <w:numId w:val="26"/>
        </w:numPr>
        <w:ind w:left="360"/>
        <w:jc w:val="both"/>
      </w:pPr>
      <w:r>
        <w:rPr>
          <w:rFonts w:ascii="Times New Roman" w:hAnsi="Times New Roman"/>
        </w:rPr>
        <w:t xml:space="preserve">El comisario Schmit ha mostrado un notable interés por el CDR y en menos de un año ya ha participado en dos plenos y en una reunión de la Comisión de Política Social, Educación, Empleo, Investigación y Cultura (SEDEC). </w:t>
      </w:r>
    </w:p>
    <w:p w:rsidR="00164C40" w:rsidRPr="007D6282" w:rsidRDefault="00164C40" w:rsidP="007D6282">
      <w:pPr>
        <w:pStyle w:val="ListParagraph"/>
        <w:numPr>
          <w:ilvl w:val="0"/>
          <w:numId w:val="26"/>
        </w:numPr>
        <w:ind w:left="360"/>
        <w:jc w:val="both"/>
      </w:pPr>
      <w:r>
        <w:rPr>
          <w:rFonts w:ascii="Times New Roman" w:hAnsi="Times New Roman"/>
        </w:rPr>
        <w:t>Joost Korte (director general de la DG EMPL) asistió a la re</w:t>
      </w:r>
      <w:r w:rsidR="00987EAA">
        <w:rPr>
          <w:rFonts w:ascii="Times New Roman" w:hAnsi="Times New Roman"/>
        </w:rPr>
        <w:t>unión de la SEDEC en febrero de </w:t>
      </w:r>
      <w:r>
        <w:rPr>
          <w:rFonts w:ascii="Times New Roman" w:hAnsi="Times New Roman"/>
        </w:rPr>
        <w:t>2020, donde pronunció un discurso en el que animó a los miembros del CDR a proporcionar retroalimentación, tal como solicitó la Comisión Europea en su Comunicación titulada «Una Europa social fuerte para unas transiciones justas» (la SEDEC ya está elaborando un dictamen al respecto).</w:t>
      </w:r>
    </w:p>
    <w:p w:rsidR="00164C40" w:rsidRPr="007D6282" w:rsidRDefault="00164C40" w:rsidP="007D6282">
      <w:pPr>
        <w:pStyle w:val="ListParagraph"/>
        <w:numPr>
          <w:ilvl w:val="0"/>
          <w:numId w:val="26"/>
        </w:numPr>
        <w:ind w:left="360"/>
        <w:jc w:val="both"/>
      </w:pPr>
      <w:r>
        <w:rPr>
          <w:rFonts w:ascii="Times New Roman" w:hAnsi="Times New Roman"/>
        </w:rPr>
        <w:lastRenderedPageBreak/>
        <w:t>Tanto el comisario como el director general han explicitado que confían en que el CDR participe activamente en la preparación de la Cumbre Social de Oporto (mayo de 2021) y en el Plan de Acción sobre la aplicación del pilar europeo de derechos sociales (EPSR, por sus siglas en inglés).</w:t>
      </w:r>
    </w:p>
    <w:p w:rsidR="006A6308" w:rsidRPr="007D6282" w:rsidRDefault="006A6308" w:rsidP="007D6282">
      <w:pPr>
        <w:pStyle w:val="ListParagraph"/>
        <w:numPr>
          <w:ilvl w:val="0"/>
          <w:numId w:val="26"/>
        </w:numPr>
        <w:ind w:left="360"/>
        <w:jc w:val="both"/>
      </w:pPr>
      <w:r>
        <w:rPr>
          <w:rFonts w:ascii="Times New Roman" w:hAnsi="Times New Roman"/>
        </w:rPr>
        <w:t>En la reunión del comisario y del presidente del CDR, celebrada el 9 de julio, se abogó por seguir fomentando el espíritu de colaboración mutua y se confirmó que ambas instituciones deberían suscitar más oportunidades de cooperación.</w:t>
      </w:r>
    </w:p>
    <w:p w:rsidR="00864E4E" w:rsidRPr="003814FB" w:rsidRDefault="00864E4E" w:rsidP="005D5EB3">
      <w:pPr>
        <w:jc w:val="both"/>
      </w:pPr>
      <w:r>
        <w:t>En el Protocolo de cooperación entre la Comisión Europea y el Comité Europeo de las Regiones (2012/C 102/02)</w:t>
      </w:r>
      <w:r w:rsidRPr="007D6282">
        <w:rPr>
          <w:lang w:val="en-GB"/>
        </w:rPr>
        <w:footnoteReference w:id="3"/>
      </w:r>
      <w:r>
        <w:t>, la Comisión y el CDR acordaron reforzar su colaboración. Esta nota conjunta del CDR y la DG EMPL establece los ámbitos políticos que precisan mayor colaboración y los principales instrumentos al respecto.</w:t>
      </w:r>
    </w:p>
    <w:p w:rsidR="003D208F" w:rsidRPr="003814FB" w:rsidRDefault="003D208F">
      <w:pPr>
        <w:rPr>
          <w:lang w:val="en-GB"/>
        </w:rPr>
      </w:pPr>
    </w:p>
    <w:p w:rsidR="00EB524C" w:rsidRPr="007D6282" w:rsidRDefault="00EA2779" w:rsidP="007D6282">
      <w:pPr>
        <w:pStyle w:val="Heading1"/>
        <w:numPr>
          <w:ilvl w:val="0"/>
          <w:numId w:val="22"/>
        </w:numPr>
        <w:spacing w:before="0"/>
        <w:ind w:left="567" w:hanging="567"/>
        <w:rPr>
          <w:rFonts w:ascii="Times New Roman" w:hAnsi="Times New Roman"/>
          <w:b/>
          <w:color w:val="auto"/>
          <w:sz w:val="24"/>
        </w:rPr>
      </w:pPr>
      <w:r>
        <w:rPr>
          <w:rFonts w:ascii="Times New Roman" w:hAnsi="Times New Roman"/>
          <w:b/>
          <w:color w:val="auto"/>
          <w:sz w:val="24"/>
        </w:rPr>
        <w:t>Principales esferas de cooperación más estrecha entre el CDR y la DG EMPL</w:t>
      </w:r>
    </w:p>
    <w:p w:rsidR="004D765D" w:rsidRPr="003814FB" w:rsidRDefault="004D765D" w:rsidP="007D6282">
      <w:pPr>
        <w:keepNext/>
        <w:rPr>
          <w:lang w:val="en-GB"/>
        </w:rPr>
      </w:pPr>
    </w:p>
    <w:p w:rsidR="00964812" w:rsidRPr="007D6282" w:rsidRDefault="008E118B">
      <w:r>
        <w:t>Dada la amplia gama de temas vinculados a la dimensión social y teniendo en cuenta los recursos disponibles, es importante concentrar esta mayor cooperación en ámbitos en los que el CDR puede aportar un claro valor añadido y donde la dimensión territorial es más sólida. Si bien no impide la cooperación en otros ámbitos, en particular en la promoción de la economía social, los ámbitos de cooperación reforzada son, por tanto, los siguientes:</w:t>
      </w:r>
    </w:p>
    <w:p w:rsidR="003D208F" w:rsidRPr="007D6282" w:rsidRDefault="003D208F">
      <w:pPr>
        <w:rPr>
          <w:lang w:val="en-GB"/>
        </w:rPr>
      </w:pPr>
    </w:p>
    <w:p w:rsidR="00EA2779" w:rsidRPr="007D6282" w:rsidRDefault="00EA2779" w:rsidP="007D6282">
      <w:pPr>
        <w:pStyle w:val="Heading2"/>
        <w:rPr>
          <w:rFonts w:asciiTheme="majorHAnsi" w:hAnsiTheme="majorHAnsi"/>
          <w:color w:val="365F91" w:themeColor="accent1" w:themeShade="BF"/>
        </w:rPr>
      </w:pPr>
      <w:r>
        <w:rPr>
          <w:rFonts w:ascii="Times New Roman" w:hAnsi="Times New Roman"/>
          <w:b/>
          <w:sz w:val="24"/>
          <w:szCs w:val="24"/>
        </w:rPr>
        <w:t>2.1.</w:t>
      </w:r>
      <w:r>
        <w:tab/>
      </w:r>
      <w:r>
        <w:rPr>
          <w:rFonts w:ascii="Times New Roman" w:hAnsi="Times New Roman"/>
          <w:b/>
          <w:sz w:val="24"/>
          <w:szCs w:val="32"/>
        </w:rPr>
        <w:t>El pilar europeo de derechos sociales</w:t>
      </w:r>
    </w:p>
    <w:p w:rsidR="00EA2779" w:rsidRPr="007D6282" w:rsidRDefault="00EA2779" w:rsidP="007D6282">
      <w:pPr>
        <w:rPr>
          <w:b/>
          <w:u w:val="single"/>
          <w:lang w:val="en-GB"/>
        </w:rPr>
      </w:pPr>
    </w:p>
    <w:p w:rsidR="005366D6" w:rsidRPr="007D6282" w:rsidRDefault="005366D6" w:rsidP="007D6282">
      <w:pPr>
        <w:rPr>
          <w:szCs w:val="24"/>
        </w:rPr>
      </w:pPr>
      <w:r>
        <w:t>El pilar europeo de derechos sociales es un documento consensuado que refleja lo que representa la Unión en el ámbito del empleo y los asuntos sociales.</w:t>
      </w:r>
      <w:r>
        <w:rPr>
          <w:i/>
          <w:szCs w:val="24"/>
        </w:rPr>
        <w:t xml:space="preserve"> </w:t>
      </w:r>
      <w:r>
        <w:t>Fue proclamado al más alto nivel político y ya ha propiciado medidas de gran alcance a escala de la UE, nacional, regional y local que refuerzan la dimensión social de la UE. Con su Comunicación de 27 de mayo de 2020, la Comisión también ha situado al pilar europeo de derechos sociales en el centro de su hoja de ruta hacia una recuperación justa e integradora de la crisis de la COVID-19.</w:t>
      </w:r>
    </w:p>
    <w:p w:rsidR="005366D6" w:rsidRPr="007D6282" w:rsidRDefault="005366D6">
      <w:pPr>
        <w:rPr>
          <w:szCs w:val="24"/>
          <w:lang w:val="en-GB" w:eastAsia="fr-BE"/>
        </w:rPr>
      </w:pPr>
    </w:p>
    <w:p w:rsidR="005366D6" w:rsidRPr="007D6282" w:rsidRDefault="005366D6">
      <w:pPr>
        <w:rPr>
          <w:szCs w:val="24"/>
        </w:rPr>
      </w:pPr>
      <w:r>
        <w:t xml:space="preserve">La Agenda Estratégica para 2019-2024, acordada por el Consejo Europeo en junio de 2019, pide la aplicación del pilar a escala de la UE y de los Estados miembros, de conformidad con las competencias respectivas. </w:t>
      </w:r>
    </w:p>
    <w:p w:rsidR="003D208F" w:rsidRPr="007D6282" w:rsidRDefault="003D208F">
      <w:pPr>
        <w:rPr>
          <w:szCs w:val="24"/>
          <w:lang w:val="en-GB" w:eastAsia="en-GB"/>
        </w:rPr>
      </w:pPr>
    </w:p>
    <w:p w:rsidR="005366D6" w:rsidRPr="007D6282" w:rsidRDefault="005366D6">
      <w:pPr>
        <w:rPr>
          <w:szCs w:val="24"/>
        </w:rPr>
      </w:pPr>
      <w:r>
        <w:t xml:space="preserve">Las orientaciones políticas de la presidenta von der Leyen para la Comisión se comprometen a proponer un Plan de Acción destinado a aplicar plenamente el pilar europeo de derechos sociales. La Comunicación de la Comisión, de 14 de enero de 2020, sobre una Europa social fuerte para unas transiciones justas propuso una serie de acciones clave para 2020 y 2021 y puso en marcha un </w:t>
      </w:r>
      <w:r>
        <w:lastRenderedPageBreak/>
        <w:t>amplio proceso de consulta y participación para contribuir a los preparativos del Plan de Acción. La necesidad de apoyo y protección social es aún más aguda durante la actual pandemia de COVID-19, ya que los sistemas de apoyo social de los Estados miembros han estado bajo una tremenda presión y el tejido social de la UE está en peligro de ruptura.</w:t>
      </w:r>
    </w:p>
    <w:p w:rsidR="005366D6" w:rsidRPr="007D6282" w:rsidRDefault="005366D6">
      <w:pPr>
        <w:rPr>
          <w:szCs w:val="24"/>
          <w:lang w:val="en-GB" w:eastAsia="en-GB"/>
        </w:rPr>
      </w:pPr>
    </w:p>
    <w:p w:rsidR="005366D6" w:rsidRPr="007D6282" w:rsidRDefault="005366D6" w:rsidP="0095403B">
      <w:pPr>
        <w:autoSpaceDE w:val="0"/>
        <w:autoSpaceDN w:val="0"/>
        <w:adjustRightInd w:val="0"/>
        <w:spacing w:after="0"/>
        <w:rPr>
          <w:szCs w:val="24"/>
        </w:rPr>
      </w:pPr>
      <w:r>
        <w:t xml:space="preserve">El objetivo de la Comisión es presentar el Plan de Acción a principios de 2021 y aspirar a su respaldo al más alto nivel político en la Cumbre Social que organizará la Presidencia portuguesa del Consejo en mayo de 2021. </w:t>
      </w:r>
    </w:p>
    <w:p w:rsidR="00CE0C02" w:rsidRPr="007D6282" w:rsidRDefault="00CE0C02">
      <w:pPr>
        <w:rPr>
          <w:bCs/>
          <w:u w:val="single"/>
          <w:lang w:val="en-GB"/>
        </w:rPr>
      </w:pPr>
    </w:p>
    <w:p w:rsidR="00EA2779" w:rsidRPr="007D6282" w:rsidRDefault="00B40809" w:rsidP="0095403B">
      <w:pPr>
        <w:spacing w:after="0"/>
        <w:rPr>
          <w:bCs/>
        </w:rPr>
      </w:pPr>
      <w:r>
        <w:t>Es evidente que los entes locales y regionales desempeñan un papel importante en el diseño y la aplicación de políticas sociales y en materia de empleo en la UE. Diferentes regiones se han visto afectadas de muy distintas maneras por la crisis de la COVID-19, en función de su estructura económica y su exposición sanitaria. Los entes locales y regionales pueden ayudar a desarrollar y aplicar una respuesta a la crisis que aborde los retos de la cohesión social y territorial anteriores y posteriores a la crisis. Por lo tanto, es necesario implicar a los entes locales y regionales, en particular a través:</w:t>
      </w:r>
    </w:p>
    <w:p w:rsidR="00CB78E1" w:rsidRPr="007D6282" w:rsidRDefault="00CB78E1" w:rsidP="007D6282">
      <w:pPr>
        <w:rPr>
          <w:bCs/>
          <w:u w:val="single"/>
          <w:lang w:val="en-GB"/>
        </w:rPr>
      </w:pPr>
    </w:p>
    <w:p w:rsidR="00CB78E1" w:rsidRPr="007D6282" w:rsidRDefault="00F771E0" w:rsidP="007D6282">
      <w:pPr>
        <w:pStyle w:val="ListParagraph"/>
        <w:numPr>
          <w:ilvl w:val="0"/>
          <w:numId w:val="19"/>
        </w:numPr>
        <w:spacing w:after="0" w:line="288" w:lineRule="auto"/>
        <w:ind w:left="360"/>
        <w:jc w:val="both"/>
      </w:pPr>
      <w:r>
        <w:rPr>
          <w:rFonts w:ascii="Times New Roman" w:hAnsi="Times New Roman"/>
        </w:rPr>
        <w:t>el Dictamen del CDR sobre una Europa social fuerte para unas transiciones justas [ponente Anne Karjalainen (FI/PSE) adoptado en el pleno de octubre de 2020], que constituye la respuesta global del CDR a la Comunicación de la Comisión;</w:t>
      </w:r>
    </w:p>
    <w:p w:rsidR="00421A56" w:rsidRPr="007D6282" w:rsidRDefault="00421A56" w:rsidP="007D6282">
      <w:pPr>
        <w:pStyle w:val="ListParagraph"/>
        <w:spacing w:after="0" w:line="288" w:lineRule="auto"/>
        <w:ind w:left="360"/>
        <w:jc w:val="both"/>
        <w:rPr>
          <w:bCs/>
        </w:rPr>
      </w:pPr>
    </w:p>
    <w:p w:rsidR="00176CAE" w:rsidRPr="007D6282" w:rsidRDefault="00176CAE" w:rsidP="007D6282">
      <w:pPr>
        <w:pStyle w:val="ListParagraph"/>
        <w:numPr>
          <w:ilvl w:val="0"/>
          <w:numId w:val="19"/>
        </w:numPr>
        <w:spacing w:after="0" w:line="288" w:lineRule="auto"/>
        <w:ind w:left="360"/>
        <w:jc w:val="both"/>
      </w:pPr>
      <w:r>
        <w:rPr>
          <w:rFonts w:ascii="Times New Roman" w:hAnsi="Times New Roman"/>
        </w:rPr>
        <w:t>el Dictamen del CDR sobre el tema Plan de futuro para el sector de los cuidados y los cuidadores: oportunidades locales y regionales en el contexto de un desafío europeo (pendiente de confirmación por parte del ponente);</w:t>
      </w:r>
    </w:p>
    <w:p w:rsidR="00E136C4" w:rsidRPr="007D6282" w:rsidRDefault="00E136C4" w:rsidP="007D6282">
      <w:pPr>
        <w:pStyle w:val="ListParagraph"/>
        <w:spacing w:after="0" w:line="288" w:lineRule="auto"/>
        <w:ind w:left="360"/>
        <w:jc w:val="both"/>
      </w:pPr>
    </w:p>
    <w:p w:rsidR="00F771E0" w:rsidRPr="007D6282" w:rsidRDefault="00421A56" w:rsidP="007D6282">
      <w:pPr>
        <w:pStyle w:val="ListParagraph"/>
        <w:numPr>
          <w:ilvl w:val="0"/>
          <w:numId w:val="19"/>
        </w:numPr>
        <w:spacing w:after="0" w:line="288" w:lineRule="auto"/>
        <w:ind w:left="360"/>
        <w:jc w:val="both"/>
      </w:pPr>
      <w:r>
        <w:rPr>
          <w:rFonts w:ascii="Times New Roman" w:hAnsi="Times New Roman"/>
        </w:rPr>
        <w:t xml:space="preserve">la Semana Europea de las Regiones y Ciudades </w:t>
      </w:r>
      <w:r>
        <w:rPr>
          <w:rFonts w:ascii="Times New Roman" w:hAnsi="Times New Roman"/>
          <w:color w:val="000000"/>
        </w:rPr>
        <w:t>2020 dedicada a la «Seguridad social para los trabajadores de plataformas: desafíos y oportunidades» con la participación de la DG EMPL;</w:t>
      </w:r>
    </w:p>
    <w:p w:rsidR="00267B85" w:rsidRPr="007D6282" w:rsidRDefault="00267B85" w:rsidP="007D6282">
      <w:pPr>
        <w:pStyle w:val="ListParagraph"/>
        <w:spacing w:after="0" w:line="288" w:lineRule="auto"/>
        <w:ind w:left="360"/>
        <w:jc w:val="both"/>
      </w:pPr>
    </w:p>
    <w:p w:rsidR="00151730" w:rsidRPr="0095403B" w:rsidRDefault="00F5129F" w:rsidP="007D6282">
      <w:pPr>
        <w:pStyle w:val="ListParagraph"/>
        <w:numPr>
          <w:ilvl w:val="0"/>
          <w:numId w:val="19"/>
        </w:numPr>
        <w:spacing w:after="0" w:line="288" w:lineRule="auto"/>
        <w:ind w:left="360"/>
        <w:jc w:val="both"/>
        <w:rPr>
          <w:b/>
          <w:u w:val="single"/>
        </w:rPr>
      </w:pPr>
      <w:r>
        <w:rPr>
          <w:rFonts w:ascii="Times New Roman" w:hAnsi="Times New Roman"/>
        </w:rPr>
        <w:t>junto con la Presidencia portuguesa del Consejo, la Comisión y el CDR explorarán formas para que el CDR participe en la Cumbre Social, a fin de reflejar la dimensión territorial de la aplicación del pilar europeo de derechos sociales.</w:t>
      </w:r>
    </w:p>
    <w:p w:rsidR="0095403B" w:rsidRPr="0095403B" w:rsidRDefault="0095403B" w:rsidP="007D6282">
      <w:pPr>
        <w:pStyle w:val="ListParagraph"/>
        <w:numPr>
          <w:ilvl w:val="0"/>
          <w:numId w:val="19"/>
        </w:numPr>
        <w:spacing w:after="0" w:line="288" w:lineRule="auto"/>
        <w:ind w:left="360"/>
        <w:jc w:val="both"/>
        <w:rPr>
          <w:b/>
          <w:u w:val="single"/>
        </w:rPr>
      </w:pPr>
    </w:p>
    <w:p w:rsidR="00EA2779" w:rsidRPr="007D6282" w:rsidRDefault="00EA2779" w:rsidP="0095403B">
      <w:pPr>
        <w:pStyle w:val="Heading2"/>
        <w:spacing w:after="0"/>
        <w:ind w:left="425" w:hanging="425"/>
        <w:jc w:val="both"/>
        <w:rPr>
          <w:rFonts w:asciiTheme="majorHAnsi" w:eastAsiaTheme="majorEastAsia" w:hAnsiTheme="majorHAnsi" w:cstheme="majorBidi"/>
          <w:b/>
          <w:color w:val="365F91" w:themeColor="accent1" w:themeShade="BF"/>
          <w:sz w:val="24"/>
          <w:szCs w:val="32"/>
        </w:rPr>
      </w:pPr>
      <w:r>
        <w:rPr>
          <w:rFonts w:ascii="Times New Roman" w:hAnsi="Times New Roman"/>
          <w:b/>
          <w:sz w:val="24"/>
          <w:szCs w:val="24"/>
        </w:rPr>
        <w:t>2.2.</w:t>
      </w:r>
      <w:r>
        <w:rPr>
          <w:rFonts w:ascii="Times New Roman" w:hAnsi="Times New Roman"/>
          <w:b/>
          <w:sz w:val="24"/>
          <w:szCs w:val="24"/>
        </w:rPr>
        <w:tab/>
      </w:r>
      <w:r>
        <w:rPr>
          <w:rFonts w:ascii="Times New Roman" w:hAnsi="Times New Roman"/>
          <w:b/>
          <w:sz w:val="24"/>
          <w:szCs w:val="32"/>
        </w:rPr>
        <w:t>Preparación del Fondo Social Europeo Plus (FSE+) y REACT-EU con el fin de proporcionar una financiación adecuada para las medidas de empleo juvenil</w:t>
      </w:r>
    </w:p>
    <w:p w:rsidR="00527019" w:rsidRPr="007D6282" w:rsidRDefault="00527019">
      <w:pPr>
        <w:keepNext/>
        <w:rPr>
          <w:lang w:val="en-GB"/>
        </w:rPr>
      </w:pPr>
    </w:p>
    <w:p w:rsidR="00527019" w:rsidRPr="007D6282" w:rsidRDefault="00527019" w:rsidP="0095403B">
      <w:pPr>
        <w:spacing w:after="0"/>
        <w:rPr>
          <w:bCs/>
        </w:rPr>
      </w:pPr>
      <w:r>
        <w:t>En la actualidad, muchos entes locales y regionales participan activamente en la elaboración de los futuros programas del FSE+ y en el desarrollo de proyectos para beneficiarse de la financiación del FSE+. Con el FSE+, la Comisión propuso que se incrementara la financiación de las medidas de empleo juvenil en los Estados miembros en los que la tasa de jóvenes en situación de desempleo, sin estudios, trabajo o formación es superior a la media de la UE</w:t>
      </w:r>
      <w:r w:rsidR="006E25E8" w:rsidRPr="007D6282">
        <w:rPr>
          <w:rStyle w:val="FootnoteReference"/>
          <w:bCs/>
          <w:sz w:val="24"/>
          <w:szCs w:val="24"/>
          <w:lang w:val="en-GB"/>
        </w:rPr>
        <w:footnoteReference w:id="4"/>
      </w:r>
      <w:r>
        <w:t xml:space="preserve">. Además, el nuevo REACT-EU puede </w:t>
      </w:r>
      <w:r>
        <w:lastRenderedPageBreak/>
        <w:t>apoyar las medidas de empleo juvenil. La necesidad de aprovechar plenamente las ventajas de este apoyo adicional es fundamental, a la luz de la actual pandemia y del impacto que podría tener en el empleo juvenil.</w:t>
      </w:r>
    </w:p>
    <w:p w:rsidR="00CB78E1" w:rsidRPr="007D6282" w:rsidRDefault="00CB78E1">
      <w:pPr>
        <w:rPr>
          <w:bCs/>
          <w:u w:val="single"/>
          <w:lang w:val="en-GB"/>
        </w:rPr>
      </w:pPr>
    </w:p>
    <w:p w:rsidR="00AE28C2" w:rsidRPr="007D6282" w:rsidRDefault="00F52BD7">
      <w:pPr>
        <w:rPr>
          <w:bCs/>
        </w:rPr>
      </w:pPr>
      <w:r>
        <w:t>El CDR podría facilitar el intercambio de información y mejores prácticas en lo que respecta a los fondos de REACT-EU y del FSE+ aportados en apoyo a las medidas de empleo juvenil. Esta ayuda financiera contribuirá al objetivo general de la UE de dedicar al menos 22 000 millones de euros a este objetivo</w:t>
      </w:r>
      <w:r w:rsidR="008911F1" w:rsidRPr="007D6282">
        <w:rPr>
          <w:rStyle w:val="FootnoteReference"/>
          <w:bCs/>
          <w:sz w:val="24"/>
          <w:szCs w:val="24"/>
          <w:lang w:val="en-GB"/>
        </w:rPr>
        <w:footnoteReference w:id="5"/>
      </w:r>
      <w:r>
        <w:t xml:space="preserve"> y será el elemento de financiación del refuerzo de la Garantía Juvenil</w:t>
      </w:r>
      <w:r w:rsidR="008911F1" w:rsidRPr="007D6282">
        <w:rPr>
          <w:rStyle w:val="FootnoteReference"/>
          <w:bCs/>
          <w:sz w:val="24"/>
          <w:szCs w:val="24"/>
          <w:lang w:val="en-GB"/>
        </w:rPr>
        <w:footnoteReference w:id="6"/>
      </w:r>
      <w:r>
        <w:t xml:space="preserve">. </w:t>
      </w:r>
    </w:p>
    <w:p w:rsidR="00AE28C2" w:rsidRPr="007D6282" w:rsidRDefault="00AE28C2">
      <w:pPr>
        <w:rPr>
          <w:bCs/>
          <w:u w:val="single"/>
          <w:lang w:val="en-GB"/>
        </w:rPr>
      </w:pPr>
    </w:p>
    <w:p w:rsidR="006106B7" w:rsidRPr="007D6282" w:rsidRDefault="002867F1">
      <w:pPr>
        <w:rPr>
          <w:bCs/>
        </w:rPr>
      </w:pPr>
      <w:r>
        <w:t xml:space="preserve">A tenor del principio de asociación, el CDR podría promover el diálogo entre los entes locales y regionales en el desarrollo de conceptos para luchar contra el desempleo juvenil en estrecha colaboración con los interlocutores sociales y convertirse en una plataforma de intercambio de ideas y políticas entre regiones y ciudades. </w:t>
      </w:r>
    </w:p>
    <w:p w:rsidR="006106B7" w:rsidRPr="007D6282" w:rsidRDefault="006106B7">
      <w:pPr>
        <w:rPr>
          <w:bCs/>
          <w:lang w:val="en-GB"/>
        </w:rPr>
      </w:pPr>
    </w:p>
    <w:p w:rsidR="00527019" w:rsidRPr="003814FB" w:rsidRDefault="006106B7">
      <w:r>
        <w:t>De este modo, el CDR puede dar un seguimiento significativo a la Comunicación de la Comisión titulada «Apoyo al empleo juvenil: un puente hacia el empleo para la próxima generación»</w:t>
      </w:r>
      <w:r w:rsidR="00150CCB" w:rsidRPr="007D6282">
        <w:rPr>
          <w:rStyle w:val="FootnoteReference"/>
          <w:sz w:val="24"/>
          <w:szCs w:val="24"/>
          <w:lang w:val="en-GB"/>
        </w:rPr>
        <w:footnoteReference w:id="7"/>
      </w:r>
      <w:r>
        <w:t xml:space="preserve"> y pueden seguir celebrándose reuniones conjuntas a la DG EMPL y el CDR. </w:t>
      </w:r>
    </w:p>
    <w:p w:rsidR="00F165DD" w:rsidRPr="007D6282" w:rsidRDefault="00F165DD">
      <w:pPr>
        <w:rPr>
          <w:bCs/>
          <w:lang w:val="en-GB"/>
        </w:rPr>
      </w:pPr>
    </w:p>
    <w:p w:rsidR="00CB78E1" w:rsidRPr="007D6282" w:rsidRDefault="00CB78E1" w:rsidP="007D6282">
      <w:pPr>
        <w:pStyle w:val="Heading2"/>
        <w:ind w:left="567" w:hanging="567"/>
        <w:jc w:val="both"/>
        <w:rPr>
          <w:rFonts w:asciiTheme="majorHAnsi" w:eastAsiaTheme="majorEastAsia" w:hAnsiTheme="majorHAnsi" w:cstheme="majorBidi"/>
          <w:b/>
          <w:color w:val="365F91" w:themeColor="accent1" w:themeShade="BF"/>
          <w:sz w:val="24"/>
          <w:szCs w:val="32"/>
        </w:rPr>
      </w:pPr>
      <w:r>
        <w:rPr>
          <w:rFonts w:ascii="Times New Roman" w:hAnsi="Times New Roman"/>
          <w:b/>
          <w:sz w:val="24"/>
          <w:szCs w:val="24"/>
        </w:rPr>
        <w:t xml:space="preserve">2.3. </w:t>
      </w:r>
      <w:r>
        <w:rPr>
          <w:rFonts w:ascii="Times New Roman" w:hAnsi="Times New Roman"/>
          <w:b/>
          <w:sz w:val="24"/>
          <w:szCs w:val="24"/>
        </w:rPr>
        <w:tab/>
      </w:r>
      <w:r>
        <w:rPr>
          <w:rFonts w:ascii="Times New Roman" w:hAnsi="Times New Roman"/>
          <w:b/>
          <w:sz w:val="24"/>
          <w:szCs w:val="32"/>
        </w:rPr>
        <w:t xml:space="preserve">Agenda de Capacidades </w:t>
      </w:r>
    </w:p>
    <w:p w:rsidR="006106B7" w:rsidRPr="007D6282" w:rsidRDefault="006106B7" w:rsidP="007D6282">
      <w:pPr>
        <w:keepNext/>
        <w:rPr>
          <w:rFonts w:eastAsiaTheme="majorEastAsia"/>
          <w:lang w:val="en-GB"/>
        </w:rPr>
      </w:pPr>
    </w:p>
    <w:p w:rsidR="006106B7" w:rsidRPr="007D6282" w:rsidRDefault="00EE2DE9" w:rsidP="007D6282">
      <w:r>
        <w:t>El impacto de la pandemia en la forma en que trabajamos y la doble transición hacia una economía digital y verde están cambiando radicalmente el paradigma de las capacidades en la UE. Por lo tanto, es esencial promover y vincular la perspectiva local sobre las habilidades, tal como se detalla en la reciente Agenda de Capacidades Europea para la competitividad sostenible, la equidad social y la resiliencia</w:t>
      </w:r>
      <w:r w:rsidR="002867F1" w:rsidRPr="007D6282">
        <w:rPr>
          <w:rStyle w:val="FootnoteReference"/>
          <w:bCs/>
          <w:sz w:val="24"/>
          <w:szCs w:val="24"/>
          <w:lang w:val="en-GB"/>
        </w:rPr>
        <w:footnoteReference w:id="8"/>
      </w:r>
      <w:r>
        <w:t>. Trabajar a nivel local puede maximizar la participación de socios locales, como las pymes, mientras que se comprenden mejor las necesidades del mercado laboral local y se exploran sinergias con otras estrategias locales y regionales. Además, la perspectiva local y regional podría ayudar a crear previsiones cualitativas y pronósticos de capacidades cuantitativas que, a su vez, pueden convertirse en un modelo o método de anticipación de capacidades que se puede utilizar para la planificación futura o la formulación de políticas.</w:t>
      </w:r>
    </w:p>
    <w:p w:rsidR="006106B7" w:rsidRPr="007D6282" w:rsidRDefault="006106B7">
      <w:pPr>
        <w:rPr>
          <w:bCs/>
          <w:lang w:val="en-GB"/>
        </w:rPr>
      </w:pPr>
    </w:p>
    <w:p w:rsidR="00421A56" w:rsidRPr="007D6282" w:rsidRDefault="00150CCB" w:rsidP="007D6282">
      <w:pPr>
        <w:rPr>
          <w:bCs/>
        </w:rPr>
      </w:pPr>
      <w:r>
        <w:lastRenderedPageBreak/>
        <w:t>Se puede lograr una mayor cooperación mediante las siguientes acciones:</w:t>
      </w:r>
    </w:p>
    <w:p w:rsidR="000A7400" w:rsidRPr="007D6282" w:rsidRDefault="000A7400" w:rsidP="007D6282">
      <w:pPr>
        <w:pStyle w:val="ListParagraph"/>
        <w:spacing w:after="0" w:line="288" w:lineRule="auto"/>
        <w:ind w:left="360"/>
        <w:jc w:val="both"/>
        <w:rPr>
          <w:rStyle w:val="normaltextrun"/>
        </w:rPr>
      </w:pPr>
    </w:p>
    <w:p w:rsidR="000A7400" w:rsidRPr="007D6282" w:rsidRDefault="00151730" w:rsidP="007D6282">
      <w:pPr>
        <w:pStyle w:val="ListParagraph"/>
        <w:numPr>
          <w:ilvl w:val="0"/>
          <w:numId w:val="32"/>
        </w:numPr>
        <w:spacing w:after="0" w:line="288" w:lineRule="auto"/>
        <w:jc w:val="both"/>
        <w:rPr>
          <w:rStyle w:val="normaltextrun"/>
        </w:rPr>
      </w:pPr>
      <w:r>
        <w:rPr>
          <w:rStyle w:val="normaltextrun"/>
        </w:rPr>
        <w:t>promoción conjunta del Pacto por las Capacidades, como una forma de que las regiones formen alianzas con la industria y los proveedores de formación para el perfeccionamiento y reciclaje profesional de la población local;</w:t>
      </w:r>
    </w:p>
    <w:p w:rsidR="000A7400" w:rsidRPr="007D6282" w:rsidRDefault="000A7400" w:rsidP="007D6282">
      <w:pPr>
        <w:pStyle w:val="ListParagraph"/>
        <w:spacing w:after="0" w:line="288" w:lineRule="auto"/>
        <w:ind w:left="360"/>
        <w:jc w:val="both"/>
        <w:rPr>
          <w:rStyle w:val="normaltextrun"/>
        </w:rPr>
      </w:pPr>
    </w:p>
    <w:p w:rsidR="000A7400" w:rsidRDefault="000A7400" w:rsidP="001631DE">
      <w:pPr>
        <w:pStyle w:val="ListParagraph"/>
        <w:numPr>
          <w:ilvl w:val="0"/>
          <w:numId w:val="32"/>
        </w:numPr>
        <w:spacing w:after="0" w:line="288" w:lineRule="auto"/>
        <w:jc w:val="both"/>
        <w:rPr>
          <w:rStyle w:val="normaltextrun"/>
        </w:rPr>
      </w:pPr>
      <w:r>
        <w:rPr>
          <w:rStyle w:val="normaltextrun"/>
        </w:rPr>
        <w:t>conferencia de alto nivel sobre formación de aprendices organizada conjuntamente con la DG EMPL, titulada: «</w:t>
      </w:r>
      <w:r>
        <w:rPr>
          <w:rStyle w:val="normaltextrun"/>
          <w:i/>
          <w:iCs/>
        </w:rPr>
        <w:t>El papel de las regiones y ciudades en la oferta de formación de aprendices de alta calidad</w:t>
      </w:r>
      <w:r>
        <w:rPr>
          <w:rStyle w:val="normaltextrun"/>
        </w:rPr>
        <w:t>» programada para la primavera de 2021 debido a la COVID-19 con actos adicionales en línea con arreglo a la hoja de ruta previos a la conferencia principal:</w:t>
      </w:r>
    </w:p>
    <w:p w:rsidR="001631DE" w:rsidRPr="001631DE" w:rsidRDefault="001631DE" w:rsidP="001631DE">
      <w:pPr>
        <w:pStyle w:val="ListParagraph"/>
        <w:numPr>
          <w:ilvl w:val="0"/>
          <w:numId w:val="32"/>
        </w:numPr>
        <w:spacing w:after="0" w:line="288" w:lineRule="auto"/>
        <w:jc w:val="both"/>
        <w:rPr>
          <w:rStyle w:val="normaltextrun"/>
        </w:rPr>
      </w:pPr>
    </w:p>
    <w:tbl>
      <w:tblPr>
        <w:tblW w:w="0" w:type="auto"/>
        <w:tblInd w:w="416" w:type="dxa"/>
        <w:tblCellMar>
          <w:left w:w="0" w:type="dxa"/>
          <w:right w:w="0" w:type="dxa"/>
        </w:tblCellMar>
        <w:tblLook w:val="04A0" w:firstRow="1" w:lastRow="0" w:firstColumn="1" w:lastColumn="0" w:noHBand="0" w:noVBand="1"/>
      </w:tblPr>
      <w:tblGrid>
        <w:gridCol w:w="2703"/>
        <w:gridCol w:w="3817"/>
        <w:gridCol w:w="2069"/>
      </w:tblGrid>
      <w:tr w:rsidR="009E50B1">
        <w:tc>
          <w:tcPr>
            <w:tcW w:w="2703" w:type="dxa"/>
            <w:tcBorders>
              <w:top w:val="single" w:sz="8" w:space="0" w:color="auto"/>
              <w:left w:val="single" w:sz="8" w:space="0" w:color="auto"/>
              <w:bottom w:val="single" w:sz="8" w:space="0" w:color="auto"/>
              <w:right w:val="single" w:sz="8" w:space="0" w:color="auto"/>
            </w:tcBorders>
            <w:shd w:val="clear" w:color="auto" w:fill="5B9BD5"/>
            <w:tcMar>
              <w:top w:w="0" w:type="dxa"/>
              <w:left w:w="108" w:type="dxa"/>
              <w:bottom w:w="0" w:type="dxa"/>
              <w:right w:w="108" w:type="dxa"/>
            </w:tcMar>
            <w:hideMark/>
          </w:tcPr>
          <w:p w:rsidR="000A7400" w:rsidRPr="007D6282" w:rsidRDefault="000A7400">
            <w:pPr>
              <w:rPr>
                <w:b/>
                <w:bCs/>
                <w:color w:val="FFFFFF"/>
              </w:rPr>
            </w:pPr>
            <w:r>
              <w:rPr>
                <w:b/>
                <w:bCs/>
                <w:color w:val="FFFFFF"/>
              </w:rPr>
              <w:t>Fecha</w:t>
            </w:r>
          </w:p>
        </w:tc>
        <w:tc>
          <w:tcPr>
            <w:tcW w:w="3817" w:type="dxa"/>
            <w:tcBorders>
              <w:top w:val="single" w:sz="8" w:space="0" w:color="auto"/>
              <w:left w:val="nil"/>
              <w:bottom w:val="single" w:sz="8" w:space="0" w:color="auto"/>
              <w:right w:val="single" w:sz="8" w:space="0" w:color="auto"/>
            </w:tcBorders>
            <w:shd w:val="clear" w:color="auto" w:fill="5B9BD5"/>
            <w:tcMar>
              <w:top w:w="0" w:type="dxa"/>
              <w:left w:w="108" w:type="dxa"/>
              <w:bottom w:w="0" w:type="dxa"/>
              <w:right w:w="108" w:type="dxa"/>
            </w:tcMar>
            <w:hideMark/>
          </w:tcPr>
          <w:p w:rsidR="000A7400" w:rsidRPr="007D6282" w:rsidRDefault="000A7400">
            <w:pPr>
              <w:rPr>
                <w:rFonts w:ascii="Calibri" w:hAnsi="Calibri" w:cs="Calibri"/>
                <w:b/>
                <w:bCs/>
                <w:color w:val="FFFFFF"/>
              </w:rPr>
            </w:pPr>
            <w:r>
              <w:rPr>
                <w:b/>
                <w:bCs/>
                <w:color w:val="FFFFFF"/>
              </w:rPr>
              <w:t>Seminarios web/Conferencia</w:t>
            </w:r>
          </w:p>
        </w:tc>
        <w:tc>
          <w:tcPr>
            <w:tcW w:w="2069" w:type="dxa"/>
            <w:tcBorders>
              <w:top w:val="single" w:sz="8" w:space="0" w:color="auto"/>
              <w:left w:val="nil"/>
              <w:bottom w:val="single" w:sz="8" w:space="0" w:color="auto"/>
              <w:right w:val="single" w:sz="8" w:space="0" w:color="auto"/>
            </w:tcBorders>
            <w:shd w:val="clear" w:color="auto" w:fill="5B9BD5"/>
            <w:tcMar>
              <w:top w:w="0" w:type="dxa"/>
              <w:left w:w="108" w:type="dxa"/>
              <w:bottom w:w="0" w:type="dxa"/>
              <w:right w:w="108" w:type="dxa"/>
            </w:tcMar>
            <w:hideMark/>
          </w:tcPr>
          <w:p w:rsidR="000A7400" w:rsidRPr="007D6282" w:rsidRDefault="000A7400">
            <w:pPr>
              <w:rPr>
                <w:b/>
                <w:bCs/>
                <w:color w:val="FFFFFF"/>
              </w:rPr>
            </w:pPr>
            <w:r>
              <w:rPr>
                <w:b/>
                <w:bCs/>
                <w:color w:val="FFFFFF"/>
              </w:rPr>
              <w:t>Tema</w:t>
            </w:r>
          </w:p>
        </w:tc>
      </w:tr>
      <w:tr w:rsidR="009E50B1">
        <w:tc>
          <w:tcPr>
            <w:tcW w:w="270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A7400" w:rsidRPr="007D6282" w:rsidRDefault="000A7400">
            <w:r>
              <w:t>Martes 29 de septiembre de 2020</w:t>
            </w:r>
          </w:p>
        </w:tc>
        <w:tc>
          <w:tcPr>
            <w:tcW w:w="3817"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7D6282" w:rsidRDefault="000A7400">
            <w:r>
              <w:t>1.</w:t>
            </w:r>
            <w:r>
              <w:rPr>
                <w:vertAlign w:val="superscript"/>
              </w:rPr>
              <w:t>er</w:t>
            </w:r>
            <w:r>
              <w:t xml:space="preserve"> seminario web en línea: </w:t>
            </w:r>
            <w:r>
              <w:rPr>
                <w:i/>
                <w:iCs/>
              </w:rPr>
              <w:t>El impacto de la COVID-19 en la formación de aprendices. El papel de las regiones y las ciudades.</w:t>
            </w:r>
            <w:r>
              <w:t xml:space="preserve"> </w:t>
            </w:r>
          </w:p>
        </w:tc>
        <w:tc>
          <w:tcPr>
            <w:tcW w:w="2069"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7D6282" w:rsidRDefault="000A7400">
            <w:r>
              <w:t>Hincapié en la respuesta a la COVID-19</w:t>
            </w:r>
          </w:p>
        </w:tc>
      </w:tr>
      <w:tr w:rsidR="009E50B1">
        <w:tc>
          <w:tcPr>
            <w:tcW w:w="270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A7400" w:rsidRPr="007D6282" w:rsidRDefault="000A7400">
            <w:r>
              <w:t>Enero/febrero de 2021</w:t>
            </w:r>
          </w:p>
        </w:tc>
        <w:tc>
          <w:tcPr>
            <w:tcW w:w="3817"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7D6282" w:rsidRDefault="000A7400">
            <w:r>
              <w:t xml:space="preserve">2.º seminario web en línea: </w:t>
            </w:r>
            <w:r>
              <w:rPr>
                <w:i/>
                <w:iCs/>
              </w:rPr>
              <w:t>La doble transición: el papel de las ciudades en la oferta de formación de aprendices de alta calidad</w:t>
            </w:r>
          </w:p>
        </w:tc>
        <w:tc>
          <w:tcPr>
            <w:tcW w:w="2069"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7D6282" w:rsidRDefault="000A7400">
            <w:r>
              <w:t>Hincapié en la doble transición hacia la creación de una sociedad más verde y digital</w:t>
            </w:r>
          </w:p>
        </w:tc>
      </w:tr>
      <w:tr w:rsidR="009E50B1">
        <w:tc>
          <w:tcPr>
            <w:tcW w:w="270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A7400" w:rsidRPr="007D6282" w:rsidRDefault="000A7400">
            <w:r>
              <w:t>Marzo/abril de 2021</w:t>
            </w:r>
          </w:p>
        </w:tc>
        <w:tc>
          <w:tcPr>
            <w:tcW w:w="3817"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7D6282" w:rsidRDefault="000A7400">
            <w:r>
              <w:t>3.</w:t>
            </w:r>
            <w:r>
              <w:rPr>
                <w:vertAlign w:val="superscript"/>
              </w:rPr>
              <w:t>er</w:t>
            </w:r>
            <w:r>
              <w:t xml:space="preserve"> seminario web en línea: </w:t>
            </w:r>
            <w:r>
              <w:rPr>
                <w:i/>
                <w:iCs/>
              </w:rPr>
              <w:t>La doble transición: el papel de las regiones en la oferta de formación de aprendices de alta calidad</w:t>
            </w:r>
          </w:p>
        </w:tc>
        <w:tc>
          <w:tcPr>
            <w:tcW w:w="2069"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7D6282" w:rsidRDefault="000A7400">
            <w:r>
              <w:t xml:space="preserve">Hincapié en la doble transición hacia la creación de una sociedad más verde y digital </w:t>
            </w:r>
          </w:p>
        </w:tc>
      </w:tr>
      <w:tr w:rsidR="009E50B1">
        <w:tc>
          <w:tcPr>
            <w:tcW w:w="2703" w:type="dxa"/>
            <w:tcBorders>
              <w:top w:val="nil"/>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rsidR="000A7400" w:rsidRPr="007D6282" w:rsidRDefault="000A7400">
            <w:r>
              <w:t>3 y 4 de junio de 2021 (pendiente de confirmación)</w:t>
            </w:r>
          </w:p>
        </w:tc>
        <w:tc>
          <w:tcPr>
            <w:tcW w:w="3817" w:type="dxa"/>
            <w:tcBorders>
              <w:top w:val="nil"/>
              <w:left w:val="nil"/>
              <w:bottom w:val="single" w:sz="8" w:space="0" w:color="auto"/>
              <w:right w:val="single" w:sz="8" w:space="0" w:color="auto"/>
            </w:tcBorders>
            <w:shd w:val="clear" w:color="auto" w:fill="DEEAF6"/>
            <w:tcMar>
              <w:top w:w="0" w:type="dxa"/>
              <w:left w:w="108" w:type="dxa"/>
              <w:bottom w:w="0" w:type="dxa"/>
              <w:right w:w="108" w:type="dxa"/>
            </w:tcMar>
            <w:hideMark/>
          </w:tcPr>
          <w:p w:rsidR="000A7400" w:rsidRPr="007D6282" w:rsidRDefault="000A7400">
            <w:r>
              <w:t xml:space="preserve">Conferencia principal </w:t>
            </w:r>
          </w:p>
        </w:tc>
        <w:tc>
          <w:tcPr>
            <w:tcW w:w="2069" w:type="dxa"/>
            <w:tcBorders>
              <w:top w:val="nil"/>
              <w:left w:val="nil"/>
              <w:bottom w:val="single" w:sz="8" w:space="0" w:color="auto"/>
              <w:right w:val="single" w:sz="8" w:space="0" w:color="auto"/>
            </w:tcBorders>
            <w:shd w:val="clear" w:color="auto" w:fill="DEEAF6"/>
            <w:tcMar>
              <w:top w:w="0" w:type="dxa"/>
              <w:left w:w="108" w:type="dxa"/>
              <w:bottom w:w="0" w:type="dxa"/>
              <w:right w:w="108" w:type="dxa"/>
            </w:tcMar>
            <w:hideMark/>
          </w:tcPr>
          <w:p w:rsidR="000A7400" w:rsidRPr="007D6282" w:rsidRDefault="000A7400">
            <w:r>
              <w:t>PENDIENTE DE CONFIRMACIÓN</w:t>
            </w:r>
          </w:p>
        </w:tc>
      </w:tr>
      <w:tr w:rsidR="009E50B1">
        <w:tc>
          <w:tcPr>
            <w:tcW w:w="270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A7400" w:rsidRPr="007D6282" w:rsidRDefault="000A7400">
            <w:r>
              <w:t>PENDIENTE DE CONFIRMACIÓN</w:t>
            </w:r>
          </w:p>
        </w:tc>
        <w:tc>
          <w:tcPr>
            <w:tcW w:w="3817"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7D6282" w:rsidRDefault="000A7400">
            <w:r>
              <w:t>Reuniones (en línea) de seguimiento</w:t>
            </w:r>
          </w:p>
        </w:tc>
        <w:tc>
          <w:tcPr>
            <w:tcW w:w="2069"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7D6282" w:rsidRDefault="000A7400">
            <w:r>
              <w:t>PENDIENTE DE CONFIRMACIÓN</w:t>
            </w:r>
          </w:p>
        </w:tc>
      </w:tr>
    </w:tbl>
    <w:p w:rsidR="002D435E" w:rsidRPr="007D6282" w:rsidRDefault="002D435E" w:rsidP="007D6282">
      <w:pPr>
        <w:pStyle w:val="ListParagraph"/>
        <w:spacing w:after="0" w:line="288" w:lineRule="auto"/>
        <w:ind w:left="360"/>
        <w:jc w:val="both"/>
        <w:rPr>
          <w:rStyle w:val="normaltextrun"/>
        </w:rPr>
      </w:pPr>
    </w:p>
    <w:p w:rsidR="002D435E" w:rsidRPr="007D6282" w:rsidRDefault="00151730" w:rsidP="007D6282">
      <w:pPr>
        <w:pStyle w:val="ListParagraph"/>
        <w:numPr>
          <w:ilvl w:val="0"/>
          <w:numId w:val="32"/>
        </w:numPr>
        <w:spacing w:after="0" w:line="288" w:lineRule="auto"/>
        <w:jc w:val="both"/>
        <w:rPr>
          <w:rFonts w:ascii="Times New Roman" w:hAnsi="Times New Roman" w:cs="Times New Roman"/>
        </w:rPr>
      </w:pPr>
      <w:r>
        <w:rPr>
          <w:rFonts w:ascii="Times New Roman" w:hAnsi="Times New Roman"/>
        </w:rPr>
        <w:t xml:space="preserve">se desarrollará una mayor cooperación como parte de los preparativos del Dictamen sobre la Agenda de Capacidades Europea para la competitividad sostenible, la equidad social y la resiliencia (ponente Csaba Borboly, RO/PPE); </w:t>
      </w:r>
    </w:p>
    <w:p w:rsidR="00F165DD" w:rsidRPr="007D6282" w:rsidRDefault="00F165DD" w:rsidP="007D6282">
      <w:pPr>
        <w:pStyle w:val="ListParagraph"/>
        <w:spacing w:after="0" w:line="288" w:lineRule="auto"/>
        <w:ind w:left="360"/>
        <w:jc w:val="both"/>
      </w:pPr>
    </w:p>
    <w:p w:rsidR="00176CAE" w:rsidRPr="007D6282" w:rsidRDefault="00151730" w:rsidP="007D6282">
      <w:pPr>
        <w:pStyle w:val="ListParagraph"/>
        <w:numPr>
          <w:ilvl w:val="0"/>
          <w:numId w:val="32"/>
        </w:numPr>
        <w:spacing w:after="0" w:line="288" w:lineRule="auto"/>
        <w:jc w:val="both"/>
        <w:rPr>
          <w:rFonts w:ascii="Times New Roman" w:hAnsi="Times New Roman" w:cs="Times New Roman"/>
        </w:rPr>
      </w:pPr>
      <w:r>
        <w:rPr>
          <w:rFonts w:ascii="Times New Roman" w:hAnsi="Times New Roman"/>
        </w:rPr>
        <w:t xml:space="preserve">colaboración en la Alianza Europea para la Formación de Aprendices (EAfA, por sus siglas en inglés). El CDR y la EAfA podrían seguir trabajando en una de las prioridades de las EAfA actualizada: «Movilización de los entes locales y regionales como catalizadores del aprendizaje profesional en el entorno empresarial local». Un ejemplo de ello es la nueva Red de ciudades para la participación de la formación de aprendices en los seminarios web conjuntos a la EAfA y el CDR. Uno de los principales objetivos de la Red será concienciar sobre el potencial que tienen las </w:t>
      </w:r>
      <w:r>
        <w:rPr>
          <w:rFonts w:ascii="Times New Roman" w:hAnsi="Times New Roman"/>
        </w:rPr>
        <w:lastRenderedPageBreak/>
        <w:t>ciudades para apoyar la formación de aprendices. En última instancia, a través de esta Red, las ciudades podrán aprender unas de otras, colaborar, desarrollar herramientas, compartir buenas prácticas y proporcionar y recibir asistencia técnica y en materia de políticas.   </w:t>
      </w:r>
    </w:p>
    <w:p w:rsidR="00C34231" w:rsidRPr="003814FB" w:rsidRDefault="00C34231">
      <w:pPr>
        <w:rPr>
          <w:rFonts w:eastAsiaTheme="majorEastAsia"/>
          <w:lang w:val="en-GB"/>
        </w:rPr>
      </w:pPr>
    </w:p>
    <w:p w:rsidR="003D64D4" w:rsidRPr="007D6282" w:rsidRDefault="00025C0A" w:rsidP="007D6282">
      <w:pPr>
        <w:pStyle w:val="Heading2"/>
        <w:ind w:left="567" w:hanging="567"/>
        <w:jc w:val="both"/>
        <w:rPr>
          <w:rFonts w:asciiTheme="majorHAnsi" w:eastAsiaTheme="majorEastAsia" w:hAnsiTheme="majorHAnsi" w:cstheme="majorBidi"/>
          <w:b/>
          <w:color w:val="365F91" w:themeColor="accent1" w:themeShade="BF"/>
          <w:sz w:val="24"/>
          <w:szCs w:val="32"/>
        </w:rPr>
      </w:pPr>
      <w:r>
        <w:rPr>
          <w:rFonts w:ascii="Times New Roman" w:hAnsi="Times New Roman"/>
          <w:b/>
          <w:sz w:val="24"/>
          <w:szCs w:val="24"/>
        </w:rPr>
        <w:t xml:space="preserve">2.4. </w:t>
      </w:r>
      <w:r>
        <w:rPr>
          <w:rFonts w:ascii="Times New Roman" w:hAnsi="Times New Roman"/>
          <w:b/>
          <w:sz w:val="24"/>
          <w:szCs w:val="24"/>
        </w:rPr>
        <w:tab/>
      </w:r>
      <w:r>
        <w:rPr>
          <w:rFonts w:ascii="Times New Roman" w:hAnsi="Times New Roman"/>
          <w:b/>
          <w:sz w:val="24"/>
          <w:szCs w:val="32"/>
        </w:rPr>
        <w:t>Concepto de «Ferias Europeas de Empleo Local» respaldado por la UE para apoyar el empleo local</w:t>
      </w:r>
    </w:p>
    <w:p w:rsidR="00CE5349" w:rsidRPr="007D6282" w:rsidRDefault="00CE5349">
      <w:pPr>
        <w:keepNext/>
        <w:rPr>
          <w:lang w:val="en-GB"/>
        </w:rPr>
      </w:pPr>
    </w:p>
    <w:p w:rsidR="00CC2877" w:rsidRPr="003814FB" w:rsidRDefault="00394636" w:rsidP="007D6282">
      <w:r>
        <w:t xml:space="preserve">Para mejorar la adecuación de puestos de trabajo y capacidades, se ha acordado estudiar la posibilidad de organizar conjuntamente «Empleos europeos de proximidad: ferias» por todo Europa. Salónica puede tomar la iniciativa para albergar una «Feria de empleos europeos de proximidad» a la mayor brevedad posible. Dicho acto podría convertirse en un modelo para otros similares en diversas regiones de la UE. El CDR y la DG EMPL cooperarán en el diseño y puesta en práctica, incluida la organización, los socios, la financiación, etc., con arreglo a acuerdos que específicos. </w:t>
      </w:r>
    </w:p>
    <w:p w:rsidR="00FE1A83" w:rsidRPr="003814FB" w:rsidRDefault="00FE1A83" w:rsidP="007D6282">
      <w:pPr>
        <w:rPr>
          <w:lang w:val="en-GB"/>
        </w:rPr>
      </w:pPr>
    </w:p>
    <w:p w:rsidR="00DC5206" w:rsidRPr="007D6282" w:rsidRDefault="00455FAA" w:rsidP="007D6282">
      <w:pPr>
        <w:pStyle w:val="Heading3"/>
        <w:rPr>
          <w:rFonts w:asciiTheme="majorHAnsi" w:hAnsiTheme="majorHAnsi"/>
          <w:color w:val="365F91" w:themeColor="accent1" w:themeShade="BF"/>
        </w:rPr>
      </w:pPr>
      <w:r>
        <w:rPr>
          <w:rFonts w:ascii="Times New Roman" w:hAnsi="Times New Roman"/>
          <w:b/>
          <w:sz w:val="24"/>
          <w:szCs w:val="24"/>
        </w:rPr>
        <w:t>2.4.1.</w:t>
      </w:r>
      <w:r>
        <w:rPr>
          <w:rFonts w:ascii="Times New Roman" w:hAnsi="Times New Roman"/>
          <w:b/>
          <w:sz w:val="24"/>
          <w:szCs w:val="24"/>
        </w:rPr>
        <w:tab/>
        <w:t>Lo que ya existe</w:t>
      </w:r>
    </w:p>
    <w:p w:rsidR="00CC2877" w:rsidRPr="003814FB" w:rsidRDefault="00CC2877">
      <w:pPr>
        <w:keepNext/>
        <w:rPr>
          <w:lang w:val="en-GB"/>
        </w:rPr>
      </w:pPr>
    </w:p>
    <w:p w:rsidR="00CC2877" w:rsidRPr="007D6282" w:rsidRDefault="00DF7306" w:rsidP="007D6282">
      <w:pPr>
        <w:pStyle w:val="ListParagraph"/>
        <w:numPr>
          <w:ilvl w:val="0"/>
          <w:numId w:val="35"/>
        </w:numPr>
        <w:spacing w:after="0" w:line="288" w:lineRule="auto"/>
        <w:jc w:val="both"/>
      </w:pPr>
      <w:r>
        <w:rPr>
          <w:rFonts w:ascii="Times New Roman" w:hAnsi="Times New Roman"/>
        </w:rPr>
        <w:t>la Red Europea de Servicios de Empleo (EURES) organiza ya las Jornadas Europeas del Empleo (Europe Job Days) que promueven la movilidad laboral en la UE, cotejando las capacidades de los solicitantes con las necesidades de los empleadores en otros Estados miembros (una réplica de tales actos para fomentar la movilidad no aportaría valor añadido);</w:t>
      </w:r>
    </w:p>
    <w:p w:rsidR="00CC2877" w:rsidRPr="007D6282" w:rsidRDefault="00CC2877" w:rsidP="007D6282">
      <w:pPr>
        <w:pStyle w:val="ListParagraph"/>
        <w:spacing w:after="0" w:line="288" w:lineRule="auto"/>
        <w:ind w:left="360"/>
        <w:jc w:val="both"/>
      </w:pPr>
    </w:p>
    <w:p w:rsidR="00CC2877" w:rsidRPr="007D6282" w:rsidRDefault="00501E02" w:rsidP="007D6282">
      <w:pPr>
        <w:pStyle w:val="ListParagraph"/>
        <w:numPr>
          <w:ilvl w:val="0"/>
          <w:numId w:val="35"/>
        </w:numPr>
        <w:spacing w:after="0" w:line="288" w:lineRule="auto"/>
        <w:jc w:val="both"/>
      </w:pPr>
      <w:r>
        <w:rPr>
          <w:rFonts w:ascii="Times New Roman" w:hAnsi="Times New Roman"/>
        </w:rPr>
        <w:t>varios proyectos de la UE tienen como objetivo luchar contra el desempleo; además, también existen programas nacionales con el mismo objetivo;</w:t>
      </w:r>
    </w:p>
    <w:p w:rsidR="00CC2877" w:rsidRPr="007D6282" w:rsidRDefault="00CC2877" w:rsidP="007D6282">
      <w:pPr>
        <w:pStyle w:val="ListParagraph"/>
        <w:spacing w:after="0" w:line="288" w:lineRule="auto"/>
        <w:ind w:left="360"/>
        <w:jc w:val="both"/>
      </w:pPr>
    </w:p>
    <w:p w:rsidR="00CC2877" w:rsidRPr="007D6282" w:rsidRDefault="002867F1" w:rsidP="007D6282">
      <w:pPr>
        <w:pStyle w:val="ListParagraph"/>
        <w:numPr>
          <w:ilvl w:val="0"/>
          <w:numId w:val="35"/>
        </w:numPr>
        <w:spacing w:after="0" w:line="288" w:lineRule="auto"/>
        <w:jc w:val="both"/>
      </w:pPr>
      <w:r>
        <w:rPr>
          <w:rFonts w:ascii="Times New Roman" w:hAnsi="Times New Roman"/>
        </w:rPr>
        <w:t>el FSE es y el FSE+ será el principal instrumento para financiar las estrategias de empleo local y promover la formación, el perfeccionamiento y el reciclaje profesional;</w:t>
      </w:r>
    </w:p>
    <w:p w:rsidR="00CC2877" w:rsidRPr="007D6282" w:rsidRDefault="00CC2877" w:rsidP="007D6282">
      <w:pPr>
        <w:pStyle w:val="ListParagraph"/>
        <w:spacing w:after="0" w:line="288" w:lineRule="auto"/>
        <w:ind w:left="360"/>
        <w:jc w:val="both"/>
      </w:pPr>
    </w:p>
    <w:p w:rsidR="00CC2877" w:rsidRPr="007D6282" w:rsidRDefault="00DF7306">
      <w:pPr>
        <w:numPr>
          <w:ilvl w:val="0"/>
          <w:numId w:val="35"/>
        </w:numPr>
        <w:rPr>
          <w:rFonts w:eastAsia="Times New Roman"/>
          <w:sz w:val="24"/>
          <w:szCs w:val="24"/>
        </w:rPr>
      </w:pPr>
      <w:r>
        <w:t>el Programa de la Unión Europea para el Empleo y la Innovación Socia (EaSI, por sus siglas en inglés) para el período 2014-2020 tiene tres ejes (Progress, para la modernización de las políticas sociales y de empleo; EURES, para fomentar la movilidad laboral; y el eje Microfinanciación y Emprendimiento Social que proporciona microcréditos y micropréstamos a colectivos y empresas vulnerables y apoya el emprendimiento social). InvestEU brindará oportunidades similares a partir de 2021.</w:t>
      </w:r>
    </w:p>
    <w:p w:rsidR="00FE1A83" w:rsidRPr="007D6282" w:rsidRDefault="00FE1A83" w:rsidP="007D6282">
      <w:pPr>
        <w:rPr>
          <w:lang w:val="en-GB"/>
        </w:rPr>
      </w:pPr>
    </w:p>
    <w:p w:rsidR="00CC2877" w:rsidRPr="007D6282" w:rsidRDefault="00455FAA" w:rsidP="007D6282">
      <w:pPr>
        <w:pStyle w:val="Heading3"/>
        <w:rPr>
          <w:rFonts w:asciiTheme="majorHAnsi" w:eastAsiaTheme="majorEastAsia" w:hAnsiTheme="majorHAnsi" w:cstheme="majorBidi"/>
          <w:b/>
          <w:color w:val="365F91" w:themeColor="accent1" w:themeShade="BF"/>
          <w:sz w:val="24"/>
          <w:szCs w:val="32"/>
        </w:rPr>
      </w:pPr>
      <w:r>
        <w:rPr>
          <w:rFonts w:ascii="Times New Roman" w:hAnsi="Times New Roman"/>
          <w:b/>
          <w:sz w:val="24"/>
          <w:szCs w:val="24"/>
        </w:rPr>
        <w:t>2.4.2.</w:t>
      </w:r>
      <w:r>
        <w:rPr>
          <w:rFonts w:ascii="Times New Roman" w:hAnsi="Times New Roman"/>
          <w:b/>
          <w:sz w:val="24"/>
          <w:szCs w:val="24"/>
        </w:rPr>
        <w:tab/>
      </w:r>
      <w:r>
        <w:rPr>
          <w:rFonts w:ascii="Times New Roman" w:hAnsi="Times New Roman"/>
          <w:b/>
          <w:sz w:val="24"/>
          <w:szCs w:val="32"/>
        </w:rPr>
        <w:t>El valor añadido de las «Ferias Europeas de Empleo Local»</w:t>
      </w:r>
    </w:p>
    <w:p w:rsidR="00CC2877" w:rsidRPr="007D6282" w:rsidRDefault="00CC2877" w:rsidP="007D6282">
      <w:pPr>
        <w:keepNext/>
        <w:rPr>
          <w:lang w:val="en-GB"/>
        </w:rPr>
      </w:pPr>
    </w:p>
    <w:p w:rsidR="00CC2877" w:rsidRPr="007D6282" w:rsidRDefault="00CC2877" w:rsidP="007D6282">
      <w:pPr>
        <w:pStyle w:val="ListParagraph"/>
        <w:spacing w:after="0" w:line="288" w:lineRule="auto"/>
        <w:ind w:left="0"/>
        <w:jc w:val="both"/>
      </w:pPr>
      <w:r>
        <w:rPr>
          <w:rFonts w:ascii="Times New Roman" w:hAnsi="Times New Roman"/>
        </w:rPr>
        <w:t>Dadas las iniciativas ya existentes de la UE y otras, el valor añadido específico de una «feria europea de empleo local» sería:</w:t>
      </w:r>
    </w:p>
    <w:p w:rsidR="00100433" w:rsidRPr="007D6282" w:rsidRDefault="00100433" w:rsidP="007D6282">
      <w:pPr>
        <w:pStyle w:val="ListParagraph"/>
        <w:spacing w:after="0" w:line="288" w:lineRule="auto"/>
        <w:ind w:left="0"/>
        <w:jc w:val="both"/>
      </w:pPr>
    </w:p>
    <w:p w:rsidR="00100433" w:rsidRPr="007D6282" w:rsidRDefault="00100433" w:rsidP="007D6282">
      <w:pPr>
        <w:pStyle w:val="ListParagraph"/>
        <w:numPr>
          <w:ilvl w:val="0"/>
          <w:numId w:val="35"/>
        </w:numPr>
        <w:spacing w:after="0" w:line="288" w:lineRule="auto"/>
        <w:jc w:val="both"/>
      </w:pPr>
      <w:r>
        <w:rPr>
          <w:rFonts w:ascii="Times New Roman" w:hAnsi="Times New Roman"/>
        </w:rPr>
        <w:lastRenderedPageBreak/>
        <w:t>exponer los servicios de la UE existentes para los solicitantes de empleo a escala local, nacional y europea;</w:t>
      </w:r>
    </w:p>
    <w:p w:rsidR="0002399B" w:rsidRPr="007D6282" w:rsidRDefault="0002399B" w:rsidP="007D6282">
      <w:pPr>
        <w:pStyle w:val="ListParagraph"/>
        <w:numPr>
          <w:ilvl w:val="0"/>
          <w:numId w:val="35"/>
        </w:numPr>
        <w:spacing w:after="0" w:line="288" w:lineRule="auto"/>
        <w:jc w:val="both"/>
      </w:pPr>
      <w:r>
        <w:rPr>
          <w:rFonts w:ascii="Times New Roman" w:hAnsi="Times New Roman"/>
        </w:rPr>
        <w:t>presentar nuevas tendencias en capacidades y empleo a escala local y europea;</w:t>
      </w:r>
    </w:p>
    <w:p w:rsidR="00100433" w:rsidRPr="007D6282" w:rsidRDefault="00100433" w:rsidP="007D6282">
      <w:pPr>
        <w:pStyle w:val="ListParagraph"/>
        <w:numPr>
          <w:ilvl w:val="0"/>
          <w:numId w:val="35"/>
        </w:numPr>
        <w:spacing w:after="0" w:line="288" w:lineRule="auto"/>
        <w:jc w:val="both"/>
      </w:pPr>
      <w:r>
        <w:rPr>
          <w:rFonts w:ascii="Times New Roman" w:hAnsi="Times New Roman"/>
        </w:rPr>
        <w:t>presentar los planes de la UE de apoyo a las estrategias de empleo locales y regionales en vista de las actividades de programación en curso de los futuros programas del FSE;</w:t>
      </w:r>
    </w:p>
    <w:p w:rsidR="00100433" w:rsidRPr="007D6282" w:rsidRDefault="00100433" w:rsidP="007D6282">
      <w:pPr>
        <w:pStyle w:val="ListParagraph"/>
        <w:numPr>
          <w:ilvl w:val="0"/>
          <w:numId w:val="35"/>
        </w:numPr>
        <w:spacing w:after="0" w:line="288" w:lineRule="auto"/>
        <w:jc w:val="both"/>
      </w:pPr>
      <w:r>
        <w:rPr>
          <w:rFonts w:ascii="Times New Roman" w:hAnsi="Times New Roman"/>
        </w:rPr>
        <w:t xml:space="preserve">mostrar los vínculos existentes entre los distintos programas y políticas de la UE desde la perspectiva de los jóvenes; </w:t>
      </w:r>
    </w:p>
    <w:p w:rsidR="00C97045" w:rsidRPr="007D6282" w:rsidRDefault="00100433" w:rsidP="007D6282">
      <w:pPr>
        <w:pStyle w:val="ListParagraph"/>
        <w:numPr>
          <w:ilvl w:val="0"/>
          <w:numId w:val="35"/>
        </w:numPr>
        <w:spacing w:after="0" w:line="288" w:lineRule="auto"/>
        <w:jc w:val="both"/>
      </w:pPr>
      <w:r>
        <w:rPr>
          <w:rFonts w:ascii="Times New Roman" w:hAnsi="Times New Roman"/>
        </w:rPr>
        <w:t>proporcionar una base para un diálogo con los ciudadanos sobre la dimensión social de la UE y lo que significa para el empleo local y regional; y</w:t>
      </w:r>
    </w:p>
    <w:p w:rsidR="00100433" w:rsidRPr="007D6282" w:rsidRDefault="00C97045" w:rsidP="007D6282">
      <w:pPr>
        <w:pStyle w:val="ListParagraph"/>
        <w:numPr>
          <w:ilvl w:val="0"/>
          <w:numId w:val="35"/>
        </w:numPr>
        <w:spacing w:after="0" w:line="288" w:lineRule="auto"/>
        <w:jc w:val="both"/>
      </w:pPr>
      <w:r>
        <w:rPr>
          <w:rFonts w:ascii="Times New Roman" w:hAnsi="Times New Roman"/>
        </w:rPr>
        <w:t>apoyar los trabajos y las capacidades que se ajusten a nivel local al apoyo de la financiación de la UE para tales actos locales.</w:t>
      </w:r>
    </w:p>
    <w:p w:rsidR="00FE1A83" w:rsidRPr="003814FB" w:rsidRDefault="00FE1A83">
      <w:pPr>
        <w:rPr>
          <w:lang w:val="en-GB"/>
        </w:rPr>
      </w:pPr>
    </w:p>
    <w:p w:rsidR="00F165DD" w:rsidRPr="003814FB" w:rsidRDefault="001A2D75">
      <w:r>
        <w:t>En este punto, es importante organizar estas ferias como parte de los esfuerzos de recuperación de la pandemia de COVID-19. Por lo tanto, es esencial iniciar un diálogo político con los principales representantes de los interlocutores sociales, acogiendo a los miembros del CDR y a los representantes de la UE, sobre conceptos y estrategias para abordar los actuales retos que se plantean en el ámbito laboral.</w:t>
      </w:r>
    </w:p>
    <w:p w:rsidR="00FE1A83" w:rsidRPr="003814FB" w:rsidRDefault="00FE1A83">
      <w:pPr>
        <w:rPr>
          <w:lang w:val="en-GB"/>
        </w:rPr>
      </w:pPr>
    </w:p>
    <w:p w:rsidR="00100433" w:rsidRPr="007D6282" w:rsidRDefault="00455FAA" w:rsidP="007D6282">
      <w:pPr>
        <w:pStyle w:val="Heading3"/>
        <w:ind w:left="709" w:hanging="709"/>
        <w:rPr>
          <w:rFonts w:asciiTheme="majorHAnsi" w:eastAsiaTheme="majorEastAsia" w:hAnsiTheme="majorHAnsi" w:cstheme="majorBidi"/>
          <w:b/>
          <w:color w:val="365F91" w:themeColor="accent1" w:themeShade="BF"/>
          <w:sz w:val="24"/>
          <w:szCs w:val="32"/>
        </w:rPr>
      </w:pPr>
      <w:r>
        <w:rPr>
          <w:rFonts w:ascii="Times New Roman" w:hAnsi="Times New Roman"/>
          <w:b/>
          <w:sz w:val="24"/>
          <w:szCs w:val="24"/>
        </w:rPr>
        <w:t>2.4.3.</w:t>
      </w:r>
      <w:r>
        <w:rPr>
          <w:rFonts w:ascii="Times New Roman" w:hAnsi="Times New Roman"/>
          <w:b/>
          <w:sz w:val="24"/>
          <w:szCs w:val="24"/>
        </w:rPr>
        <w:tab/>
      </w:r>
      <w:r>
        <w:rPr>
          <w:rFonts w:ascii="Times New Roman" w:hAnsi="Times New Roman"/>
          <w:b/>
          <w:sz w:val="24"/>
          <w:szCs w:val="32"/>
        </w:rPr>
        <w:t>Grupo destinatario de las «Ferias Europeas de Empleo Local»</w:t>
      </w:r>
    </w:p>
    <w:p w:rsidR="0002399B" w:rsidRPr="007D6282" w:rsidRDefault="0002399B">
      <w:pPr>
        <w:keepNext/>
        <w:rPr>
          <w:lang w:val="en-GB"/>
        </w:rPr>
      </w:pPr>
    </w:p>
    <w:p w:rsidR="0002399B" w:rsidRPr="007D6282" w:rsidRDefault="0002399B" w:rsidP="007D6282">
      <w:r>
        <w:t>El grupo destinatario de las «Ferias Europeas de Empleo Local» podría incluir:</w:t>
      </w:r>
    </w:p>
    <w:p w:rsidR="0002399B" w:rsidRPr="007D6282" w:rsidRDefault="0002399B">
      <w:pPr>
        <w:rPr>
          <w:lang w:val="en-GB"/>
        </w:rPr>
      </w:pPr>
    </w:p>
    <w:p w:rsidR="0002399B" w:rsidRPr="007D6282" w:rsidRDefault="0002399B" w:rsidP="007D6282">
      <w:pPr>
        <w:pStyle w:val="ListParagraph"/>
        <w:numPr>
          <w:ilvl w:val="0"/>
          <w:numId w:val="33"/>
        </w:numPr>
        <w:spacing w:after="0" w:line="288" w:lineRule="auto"/>
        <w:ind w:left="360"/>
      </w:pPr>
      <w:r>
        <w:rPr>
          <w:rFonts w:ascii="Times New Roman" w:hAnsi="Times New Roman"/>
        </w:rPr>
        <w:t>solicitantes de empleo, en particular, estudiantes y recién graduados,</w:t>
      </w:r>
    </w:p>
    <w:p w:rsidR="0002399B" w:rsidRPr="007D6282" w:rsidRDefault="0002399B" w:rsidP="007D6282">
      <w:pPr>
        <w:pStyle w:val="ListParagraph"/>
        <w:numPr>
          <w:ilvl w:val="0"/>
          <w:numId w:val="33"/>
        </w:numPr>
        <w:spacing w:after="0" w:line="288" w:lineRule="auto"/>
        <w:ind w:left="360"/>
      </w:pPr>
      <w:r>
        <w:rPr>
          <w:rFonts w:ascii="Times New Roman" w:hAnsi="Times New Roman"/>
        </w:rPr>
        <w:t>servicios públicos de empleo locales o regionales,</w:t>
      </w:r>
    </w:p>
    <w:p w:rsidR="0002399B" w:rsidRPr="007D6282" w:rsidRDefault="0002399B" w:rsidP="007D6282">
      <w:pPr>
        <w:pStyle w:val="ListParagraph"/>
        <w:numPr>
          <w:ilvl w:val="0"/>
          <w:numId w:val="33"/>
        </w:numPr>
        <w:spacing w:after="0" w:line="288" w:lineRule="auto"/>
        <w:ind w:left="360"/>
      </w:pPr>
      <w:r>
        <w:rPr>
          <w:rFonts w:ascii="Times New Roman" w:hAnsi="Times New Roman"/>
        </w:rPr>
        <w:t>agencias de formación, reciclaje y empleo,</w:t>
      </w:r>
    </w:p>
    <w:p w:rsidR="0002399B" w:rsidRPr="007D6282" w:rsidRDefault="0002399B" w:rsidP="007D6282">
      <w:pPr>
        <w:pStyle w:val="ListParagraph"/>
        <w:numPr>
          <w:ilvl w:val="0"/>
          <w:numId w:val="33"/>
        </w:numPr>
        <w:spacing w:after="0" w:line="288" w:lineRule="auto"/>
        <w:ind w:left="360"/>
      </w:pPr>
      <w:r>
        <w:rPr>
          <w:rFonts w:ascii="Times New Roman" w:hAnsi="Times New Roman"/>
        </w:rPr>
        <w:t>interlocutores sociales, infraestructuras de educación,</w:t>
      </w:r>
    </w:p>
    <w:p w:rsidR="0002399B" w:rsidRPr="007D6282" w:rsidRDefault="0002399B" w:rsidP="007D6282">
      <w:pPr>
        <w:pStyle w:val="ListParagraph"/>
        <w:numPr>
          <w:ilvl w:val="0"/>
          <w:numId w:val="33"/>
        </w:numPr>
        <w:spacing w:after="0" w:line="288" w:lineRule="auto"/>
        <w:ind w:left="360"/>
      </w:pPr>
      <w:r>
        <w:rPr>
          <w:rFonts w:ascii="Times New Roman" w:hAnsi="Times New Roman"/>
        </w:rPr>
        <w:t>autoridades y políticos locales o regionales y</w:t>
      </w:r>
    </w:p>
    <w:p w:rsidR="0002399B" w:rsidRPr="007D6282" w:rsidRDefault="0002399B" w:rsidP="007D6282">
      <w:pPr>
        <w:pStyle w:val="ListParagraph"/>
        <w:numPr>
          <w:ilvl w:val="0"/>
          <w:numId w:val="33"/>
        </w:numPr>
        <w:spacing w:after="0" w:line="288" w:lineRule="auto"/>
        <w:ind w:left="360"/>
      </w:pPr>
      <w:r>
        <w:rPr>
          <w:rFonts w:ascii="Times New Roman" w:hAnsi="Times New Roman"/>
        </w:rPr>
        <w:t>medios de comunicación locales o regionales.</w:t>
      </w:r>
    </w:p>
    <w:p w:rsidR="00FE1A83" w:rsidRPr="007D6282" w:rsidRDefault="00FE1A83" w:rsidP="007D6282">
      <w:pPr>
        <w:rPr>
          <w:lang w:val="en-GB"/>
        </w:rPr>
      </w:pPr>
    </w:p>
    <w:p w:rsidR="0002399B" w:rsidRPr="007D6282" w:rsidRDefault="00455FAA" w:rsidP="007D6282">
      <w:pPr>
        <w:pStyle w:val="Heading3"/>
        <w:tabs>
          <w:tab w:val="left" w:pos="567"/>
        </w:tabs>
        <w:rPr>
          <w:rFonts w:asciiTheme="majorHAnsi" w:hAnsiTheme="majorHAnsi"/>
          <w:color w:val="365F91" w:themeColor="accent1" w:themeShade="BF"/>
        </w:rPr>
      </w:pPr>
      <w:r>
        <w:rPr>
          <w:rFonts w:ascii="Times New Roman" w:hAnsi="Times New Roman"/>
          <w:b/>
          <w:sz w:val="24"/>
          <w:szCs w:val="24"/>
        </w:rPr>
        <w:t>2.4.4.</w:t>
      </w:r>
      <w:r>
        <w:rPr>
          <w:rFonts w:ascii="Times New Roman" w:hAnsi="Times New Roman"/>
          <w:b/>
          <w:sz w:val="24"/>
          <w:szCs w:val="24"/>
        </w:rPr>
        <w:tab/>
        <w:t>Posibles socios y ejecución</w:t>
      </w:r>
    </w:p>
    <w:p w:rsidR="0002399B" w:rsidRPr="007D6282" w:rsidRDefault="0002399B" w:rsidP="007D6282">
      <w:pPr>
        <w:keepNext/>
        <w:rPr>
          <w:lang w:val="en-GB"/>
        </w:rPr>
      </w:pPr>
    </w:p>
    <w:p w:rsidR="0002399B" w:rsidRPr="007D6282" w:rsidRDefault="00E0617C">
      <w:r>
        <w:t>Las «Ferias Europeas de Empleo Local» tendrán más éxito si cuentan desde el principio con la participación de los socios adecuados para garantizar una contribución significativa. Podrían participar los siguientes socios:</w:t>
      </w:r>
    </w:p>
    <w:p w:rsidR="0002399B" w:rsidRPr="007D6282" w:rsidRDefault="0002399B">
      <w:pPr>
        <w:rPr>
          <w:lang w:val="en-GB"/>
        </w:rPr>
      </w:pPr>
    </w:p>
    <w:p w:rsidR="0002399B" w:rsidRPr="007D6282" w:rsidRDefault="00E0617C" w:rsidP="007D6282">
      <w:pPr>
        <w:pStyle w:val="ListParagraph"/>
        <w:numPr>
          <w:ilvl w:val="0"/>
          <w:numId w:val="40"/>
        </w:numPr>
        <w:spacing w:after="0" w:line="288" w:lineRule="auto"/>
        <w:jc w:val="both"/>
      </w:pPr>
      <w:r>
        <w:rPr>
          <w:rFonts w:ascii="Times New Roman" w:hAnsi="Times New Roman"/>
          <w:u w:val="single"/>
        </w:rPr>
        <w:t>a escala local:</w:t>
      </w:r>
      <w:r>
        <w:rPr>
          <w:rFonts w:ascii="Times New Roman" w:hAnsi="Times New Roman"/>
        </w:rPr>
        <w:t xml:space="preserve"> autoridades públicas, cámaras de comercio y asociaciones empresariales, sindicatos, sociedad civil, escuelas, universidades, etc.;</w:t>
      </w:r>
    </w:p>
    <w:p w:rsidR="0002399B" w:rsidRPr="007D6282" w:rsidRDefault="00E0617C" w:rsidP="007D6282">
      <w:pPr>
        <w:pStyle w:val="ListParagraph"/>
        <w:numPr>
          <w:ilvl w:val="0"/>
          <w:numId w:val="40"/>
        </w:numPr>
        <w:spacing w:after="0" w:line="288" w:lineRule="auto"/>
        <w:jc w:val="both"/>
      </w:pPr>
      <w:r>
        <w:rPr>
          <w:rFonts w:ascii="Times New Roman" w:hAnsi="Times New Roman"/>
          <w:u w:val="single"/>
        </w:rPr>
        <w:t>a escala regional:</w:t>
      </w:r>
      <w:r>
        <w:rPr>
          <w:rFonts w:ascii="Times New Roman" w:hAnsi="Times New Roman"/>
        </w:rPr>
        <w:t xml:space="preserve"> autoridad de gestión del FSE, servicios de empleo, ministerios regionales, asociaciones empresariales regionales, universidades, etc.;</w:t>
      </w:r>
    </w:p>
    <w:p w:rsidR="0002399B" w:rsidRPr="007D6282" w:rsidRDefault="00E0617C" w:rsidP="007D6282">
      <w:pPr>
        <w:pStyle w:val="ListParagraph"/>
        <w:numPr>
          <w:ilvl w:val="0"/>
          <w:numId w:val="40"/>
        </w:numPr>
        <w:spacing w:after="0" w:line="288" w:lineRule="auto"/>
        <w:jc w:val="both"/>
      </w:pPr>
      <w:r>
        <w:rPr>
          <w:rFonts w:ascii="Times New Roman" w:hAnsi="Times New Roman"/>
          <w:u w:val="single"/>
        </w:rPr>
        <w:lastRenderedPageBreak/>
        <w:t>a escala nacional</w:t>
      </w:r>
      <w:r>
        <w:rPr>
          <w:rFonts w:ascii="Times New Roman" w:hAnsi="Times New Roman"/>
        </w:rPr>
        <w:t>: ministerios nacionales, asociaciones del sector social, federaciones empresariales, asociaciones para la formación continua, redes de universidades, etc.;</w:t>
      </w:r>
    </w:p>
    <w:p w:rsidR="00256F0C" w:rsidRPr="007D6282" w:rsidRDefault="00E0617C" w:rsidP="007D6282">
      <w:pPr>
        <w:pStyle w:val="ListParagraph"/>
        <w:numPr>
          <w:ilvl w:val="0"/>
          <w:numId w:val="40"/>
        </w:numPr>
        <w:spacing w:after="0" w:line="288" w:lineRule="auto"/>
        <w:jc w:val="both"/>
      </w:pPr>
      <w:r>
        <w:rPr>
          <w:rFonts w:ascii="Times New Roman" w:hAnsi="Times New Roman"/>
          <w:u w:val="single"/>
        </w:rPr>
        <w:t>a escala de la UE</w:t>
      </w:r>
      <w:r>
        <w:rPr>
          <w:rFonts w:ascii="Times New Roman" w:hAnsi="Times New Roman"/>
        </w:rPr>
        <w:t>: Comisión Europea (liderada por la DG EMPL; otras DG y servicios que podrían ser invitados: DG EAC; DG REGIO, DG REFORM, JRC), agencias de la UE (ELA, CEDEFOP, EUROFOUND); miembros del CDR; diputados al Parlamento Europeo; interlocutores sociales.</w:t>
      </w:r>
    </w:p>
    <w:p w:rsidR="00FE1A83" w:rsidRPr="003814FB" w:rsidRDefault="00FE1A83">
      <w:pPr>
        <w:rPr>
          <w:lang w:val="en-GB"/>
        </w:rPr>
      </w:pPr>
    </w:p>
    <w:p w:rsidR="00834904" w:rsidRPr="003814FB" w:rsidRDefault="00834904">
      <w:r>
        <w:t xml:space="preserve">Dado que la actual pandemia de COVID-19 imposibilita por el momento la organización de ferias presenciales, se podría considerar organizar actos como las </w:t>
      </w:r>
      <w:hyperlink r:id="rId14" w:history="1">
        <w:r>
          <w:t>Jornadas Europeas del Empleo</w:t>
        </w:r>
      </w:hyperlink>
      <w:r>
        <w:t>, previa concertación y con la participación de la correspondiente oficina nacional de coordinación nacional EURES.</w:t>
      </w:r>
    </w:p>
    <w:p w:rsidR="003E0FE7" w:rsidRPr="003814FB" w:rsidRDefault="003E0FE7">
      <w:pPr>
        <w:rPr>
          <w:lang w:val="en-GB"/>
        </w:rPr>
      </w:pPr>
    </w:p>
    <w:p w:rsidR="00E6624D" w:rsidRPr="003814FB" w:rsidRDefault="00E6624D">
      <w:r>
        <w:t>Las funciones y responsabilidades de los organizadores y socios se definirán en acuerdos específicos.</w:t>
      </w:r>
    </w:p>
    <w:p w:rsidR="00F165DD" w:rsidRPr="007D6282" w:rsidRDefault="00F165DD">
      <w:pPr>
        <w:rPr>
          <w:sz w:val="24"/>
          <w:lang w:val="en-GB"/>
        </w:rPr>
      </w:pPr>
    </w:p>
    <w:p w:rsidR="001A2D75" w:rsidRPr="007D6282" w:rsidRDefault="001A2D75" w:rsidP="007D6282">
      <w:pPr>
        <w:pStyle w:val="ListParagraph"/>
        <w:keepNext/>
        <w:numPr>
          <w:ilvl w:val="2"/>
          <w:numId w:val="22"/>
        </w:numPr>
        <w:spacing w:after="0" w:line="288" w:lineRule="auto"/>
        <w:rPr>
          <w:b/>
          <w:sz w:val="24"/>
        </w:rPr>
      </w:pPr>
      <w:r>
        <w:rPr>
          <w:rFonts w:ascii="Times New Roman" w:hAnsi="Times New Roman"/>
          <w:b/>
          <w:sz w:val="24"/>
        </w:rPr>
        <w:t>Financiación y otro apoyo</w:t>
      </w:r>
    </w:p>
    <w:p w:rsidR="001A2D75" w:rsidRPr="003814FB" w:rsidRDefault="001A2D75" w:rsidP="007D6282">
      <w:pPr>
        <w:keepNext/>
        <w:rPr>
          <w:lang w:val="en-GB"/>
        </w:rPr>
      </w:pPr>
    </w:p>
    <w:p w:rsidR="006C7232" w:rsidRPr="007D6282" w:rsidRDefault="001A2D75">
      <w:r>
        <w:t>Las iniciativas «Ferias Europeas de Empleo Local» organizadas por miembros del CDR podrían recibir financiación de la UE. El Comité Europeo de las Regiones y la DG EMPL analizarán conjuntamente las opciones adecuadas de apoyo financiero para estos actos.</w:t>
      </w:r>
    </w:p>
    <w:p w:rsidR="001A2D75" w:rsidRPr="007D6282" w:rsidRDefault="001A2D75">
      <w:pPr>
        <w:rPr>
          <w:lang w:val="en-GB"/>
        </w:rPr>
      </w:pPr>
    </w:p>
    <w:p w:rsidR="001A2D75" w:rsidRPr="007D6282" w:rsidRDefault="008D4711">
      <w:r>
        <w:t>Otro tipo de apoyos podrían consistir en lo siguiente:</w:t>
      </w:r>
    </w:p>
    <w:p w:rsidR="001A2D75" w:rsidRPr="007D6282" w:rsidRDefault="001A2D75">
      <w:pPr>
        <w:rPr>
          <w:lang w:val="en-GB"/>
        </w:rPr>
      </w:pPr>
    </w:p>
    <w:p w:rsidR="001A2D75" w:rsidRPr="007D6282" w:rsidRDefault="001A2D75" w:rsidP="007D6282">
      <w:pPr>
        <w:pStyle w:val="ListParagraph"/>
        <w:numPr>
          <w:ilvl w:val="0"/>
          <w:numId w:val="41"/>
        </w:numPr>
        <w:spacing w:after="0" w:line="288" w:lineRule="auto"/>
        <w:jc w:val="both"/>
      </w:pPr>
      <w:r>
        <w:rPr>
          <w:rFonts w:ascii="Times New Roman" w:hAnsi="Times New Roman"/>
        </w:rPr>
        <w:t>el compromiso de los socios de la UE para participar activamente en las ferias (enviando a expertos y delegados);</w:t>
      </w:r>
    </w:p>
    <w:p w:rsidR="001A2D75" w:rsidRPr="007D6282" w:rsidRDefault="001A2D75" w:rsidP="007D6282">
      <w:pPr>
        <w:pStyle w:val="ListParagraph"/>
        <w:numPr>
          <w:ilvl w:val="0"/>
          <w:numId w:val="41"/>
        </w:numPr>
        <w:spacing w:after="0" w:line="288" w:lineRule="auto"/>
        <w:jc w:val="both"/>
      </w:pPr>
      <w:r>
        <w:rPr>
          <w:rFonts w:ascii="Times New Roman" w:hAnsi="Times New Roman"/>
        </w:rPr>
        <w:t>el compromiso de los socios de la UE para preparar material informativo adecuado para el acto;</w:t>
      </w:r>
    </w:p>
    <w:p w:rsidR="001A2D75" w:rsidRPr="007D6282" w:rsidRDefault="001A2D75" w:rsidP="007D6282">
      <w:pPr>
        <w:pStyle w:val="ListParagraph"/>
        <w:numPr>
          <w:ilvl w:val="0"/>
          <w:numId w:val="41"/>
        </w:numPr>
        <w:spacing w:after="0" w:line="288" w:lineRule="auto"/>
        <w:jc w:val="both"/>
      </w:pPr>
      <w:r>
        <w:rPr>
          <w:rFonts w:ascii="Times New Roman" w:hAnsi="Times New Roman"/>
        </w:rPr>
        <w:t>el compromiso, siempre que sea posible, de una representación de alto nivel: del Comisario o de un alto directivo de la DG EMPL en la feria.</w:t>
      </w:r>
    </w:p>
    <w:p w:rsidR="007A1EBE" w:rsidRPr="007D6282" w:rsidRDefault="007A1EBE" w:rsidP="007D6282">
      <w:pPr>
        <w:rPr>
          <w:lang w:val="en-GB"/>
        </w:rPr>
      </w:pPr>
    </w:p>
    <w:p w:rsidR="00E01D16" w:rsidRPr="007D6282" w:rsidRDefault="008C4469" w:rsidP="007D6282">
      <w:pPr>
        <w:pStyle w:val="Heading1"/>
        <w:spacing w:before="0"/>
        <w:ind w:left="567" w:hanging="567"/>
        <w:rPr>
          <w:b/>
          <w:sz w:val="24"/>
        </w:rPr>
      </w:pPr>
      <w:r>
        <w:rPr>
          <w:rFonts w:ascii="Times New Roman" w:hAnsi="Times New Roman"/>
          <w:b/>
          <w:color w:val="auto"/>
          <w:sz w:val="24"/>
          <w:szCs w:val="24"/>
        </w:rPr>
        <w:t xml:space="preserve">3. </w:t>
      </w:r>
      <w:r>
        <w:rPr>
          <w:rFonts w:ascii="Times New Roman" w:hAnsi="Times New Roman"/>
          <w:b/>
          <w:color w:val="auto"/>
          <w:sz w:val="24"/>
          <w:szCs w:val="24"/>
        </w:rPr>
        <w:tab/>
      </w:r>
      <w:r>
        <w:rPr>
          <w:rFonts w:ascii="Times New Roman" w:hAnsi="Times New Roman"/>
          <w:b/>
          <w:color w:val="auto"/>
          <w:sz w:val="24"/>
        </w:rPr>
        <w:t>Otras ámbitos políticos y posibilidades de cooperación</w:t>
      </w:r>
    </w:p>
    <w:p w:rsidR="00E01D16" w:rsidRPr="007D6282" w:rsidRDefault="00E01D16">
      <w:pPr>
        <w:rPr>
          <w:rFonts w:eastAsiaTheme="majorEastAsia"/>
          <w:lang w:val="en-GB"/>
        </w:rPr>
      </w:pPr>
    </w:p>
    <w:p w:rsidR="00E01D16" w:rsidRPr="007D6282" w:rsidRDefault="00E01D16" w:rsidP="007D6282">
      <w:pPr>
        <w:spacing w:after="0"/>
        <w:rPr>
          <w:bCs/>
        </w:rPr>
      </w:pPr>
      <w:r>
        <w:t xml:space="preserve">Actualmente figuran otras iniciativas en la agenda de la DG EMPL como, por ejemplo: </w:t>
      </w:r>
    </w:p>
    <w:p w:rsidR="007A1EBE" w:rsidRPr="007D6282" w:rsidRDefault="007A1EBE" w:rsidP="007D6282">
      <w:pPr>
        <w:spacing w:after="0"/>
        <w:rPr>
          <w:bCs/>
          <w:lang w:val="en-GB"/>
        </w:rPr>
      </w:pPr>
    </w:p>
    <w:p w:rsidR="00457987" w:rsidRPr="007D6282" w:rsidRDefault="007A1EBE" w:rsidP="007D6282">
      <w:pPr>
        <w:pStyle w:val="ListParagraph"/>
        <w:numPr>
          <w:ilvl w:val="0"/>
          <w:numId w:val="33"/>
        </w:numPr>
        <w:spacing w:after="0" w:line="288" w:lineRule="auto"/>
        <w:ind w:left="360"/>
        <w:jc w:val="both"/>
      </w:pPr>
      <w:r>
        <w:rPr>
          <w:rFonts w:ascii="Times New Roman" w:hAnsi="Times New Roman"/>
        </w:rPr>
        <w:t>el Plan de Acción para la Economía Social, previsto para 2021. La cooperación podría sondear actividades los ámbitos de la inclusión social, la creación de empleo, el sector asistencial (atención de la primera infancia y de las personas mayores), otros servicios sociales, así como la innovación social en la economía social a escala regional e interregional;</w:t>
      </w:r>
    </w:p>
    <w:p w:rsidR="00E01D16" w:rsidRPr="007D6282" w:rsidRDefault="007A1EBE" w:rsidP="007D6282">
      <w:pPr>
        <w:pStyle w:val="ListParagraph"/>
        <w:numPr>
          <w:ilvl w:val="0"/>
          <w:numId w:val="33"/>
        </w:numPr>
        <w:spacing w:after="0" w:line="288" w:lineRule="auto"/>
        <w:ind w:left="360"/>
        <w:jc w:val="both"/>
      </w:pPr>
      <w:r>
        <w:rPr>
          <w:rFonts w:ascii="Times New Roman" w:hAnsi="Times New Roman"/>
        </w:rPr>
        <w:t>salarios mínimos adecuados en la Unión Europea, para lo cual la Comisión propuso una Directiva el 28 de octubre de 2020;</w:t>
      </w:r>
    </w:p>
    <w:p w:rsidR="00E01D16" w:rsidRPr="007D6282" w:rsidRDefault="007A1EBE" w:rsidP="007D6282">
      <w:pPr>
        <w:pStyle w:val="ListParagraph"/>
        <w:numPr>
          <w:ilvl w:val="0"/>
          <w:numId w:val="33"/>
        </w:numPr>
        <w:spacing w:after="0" w:line="288" w:lineRule="auto"/>
        <w:ind w:left="360"/>
        <w:jc w:val="both"/>
      </w:pPr>
      <w:r>
        <w:rPr>
          <w:rFonts w:ascii="Times New Roman" w:hAnsi="Times New Roman"/>
        </w:rPr>
        <w:t>las condiciones laborales de los trabajadores temporeros respecto de las cuales la Comisión emitió orientaciones en 2020;</w:t>
      </w:r>
    </w:p>
    <w:p w:rsidR="00E01D16" w:rsidRPr="007D6282" w:rsidRDefault="007A1EBE" w:rsidP="007D6282">
      <w:pPr>
        <w:pStyle w:val="ListParagraph"/>
        <w:numPr>
          <w:ilvl w:val="0"/>
          <w:numId w:val="33"/>
        </w:numPr>
        <w:spacing w:after="0" w:line="288" w:lineRule="auto"/>
        <w:ind w:left="360"/>
        <w:jc w:val="both"/>
      </w:pPr>
      <w:r>
        <w:rPr>
          <w:rFonts w:ascii="Times New Roman" w:hAnsi="Times New Roman"/>
        </w:rPr>
        <w:lastRenderedPageBreak/>
        <w:t>aspectos del cambio demográfico que son competencia de la DG EMPL.</w:t>
      </w:r>
    </w:p>
    <w:p w:rsidR="007A1EBE" w:rsidRPr="007D6282" w:rsidRDefault="007A1EBE">
      <w:pPr>
        <w:rPr>
          <w:lang w:val="en-GB"/>
        </w:rPr>
      </w:pPr>
    </w:p>
    <w:p w:rsidR="00E01D16" w:rsidRPr="007D6282" w:rsidRDefault="00E01D16">
      <w:r>
        <w:t>El CDR perseguirá el objetivo de consultar más a los entes locales y regionales para contribuir a estos ámbitos de trabajo esenciales. Además, el CDR y la DG EMPL tendrán como objetivo intensificar los intercambios sobre estos temas.</w:t>
      </w:r>
    </w:p>
    <w:p w:rsidR="00E01D16" w:rsidRPr="007D6282" w:rsidRDefault="00E01D16">
      <w:pPr>
        <w:rPr>
          <w:lang w:val="en-GB"/>
        </w:rPr>
      </w:pPr>
    </w:p>
    <w:p w:rsidR="003E36A3" w:rsidRPr="007D6282" w:rsidRDefault="003E36A3">
      <w:r>
        <w:t>Para lograr una cooperación reforzada entre el CDR y la DG EMPL, cabe prever las medidas adicionales siguientes:</w:t>
      </w:r>
    </w:p>
    <w:p w:rsidR="005B2DC3" w:rsidRPr="007D6282" w:rsidRDefault="005B2DC3">
      <w:pPr>
        <w:rPr>
          <w:lang w:val="en-GB"/>
        </w:rPr>
      </w:pPr>
    </w:p>
    <w:p w:rsidR="003E36A3" w:rsidRPr="007D6282" w:rsidRDefault="007A1EBE" w:rsidP="007D6282">
      <w:pPr>
        <w:pStyle w:val="ListParagraph"/>
        <w:numPr>
          <w:ilvl w:val="0"/>
          <w:numId w:val="17"/>
        </w:numPr>
        <w:spacing w:after="0" w:line="288" w:lineRule="auto"/>
        <w:ind w:left="357" w:hanging="357"/>
        <w:jc w:val="both"/>
      </w:pPr>
      <w:r>
        <w:rPr>
          <w:rFonts w:ascii="Times New Roman" w:hAnsi="Times New Roman"/>
        </w:rPr>
        <w:t>diálogo político periódico: en el pleno del CDR y en las reuniones de la Comisión SEDEC;</w:t>
      </w:r>
    </w:p>
    <w:p w:rsidR="003E36A3" w:rsidRPr="007D6282" w:rsidRDefault="007A1EBE" w:rsidP="007D6282">
      <w:pPr>
        <w:pStyle w:val="ListParagraph"/>
        <w:numPr>
          <w:ilvl w:val="0"/>
          <w:numId w:val="17"/>
        </w:numPr>
        <w:spacing w:after="0" w:line="288" w:lineRule="auto"/>
        <w:ind w:left="357" w:hanging="357"/>
        <w:jc w:val="both"/>
      </w:pPr>
      <w:r>
        <w:rPr>
          <w:rFonts w:ascii="Times New Roman" w:hAnsi="Times New Roman"/>
        </w:rPr>
        <w:t>analizar la participación de miembros del CDR y ponentes en conferencias y actos organizados por la DG EMPL en los que la perspectiva local y regional aporta valor añadido;</w:t>
      </w:r>
    </w:p>
    <w:p w:rsidR="003E36A3" w:rsidRPr="007D6282" w:rsidRDefault="007A1EBE" w:rsidP="007D6282">
      <w:pPr>
        <w:pStyle w:val="ListParagraph"/>
        <w:numPr>
          <w:ilvl w:val="0"/>
          <w:numId w:val="17"/>
        </w:numPr>
        <w:spacing w:after="0" w:line="288" w:lineRule="auto"/>
        <w:ind w:left="357" w:hanging="357"/>
        <w:jc w:val="both"/>
      </w:pPr>
      <w:r>
        <w:rPr>
          <w:rFonts w:ascii="Times New Roman" w:hAnsi="Times New Roman"/>
        </w:rPr>
        <w:t>previa solicitud, informar a los miembros del CDR sobre la financiación y el apoyo político disponibles de la UE para mostrar cómo la UE puede ayudar a las regiones y ciudades en la transición verde y digital;</w:t>
      </w:r>
    </w:p>
    <w:p w:rsidR="002E7C63" w:rsidRPr="007D6282" w:rsidRDefault="007A1EBE" w:rsidP="007D6282">
      <w:pPr>
        <w:pStyle w:val="ListParagraph"/>
        <w:numPr>
          <w:ilvl w:val="0"/>
          <w:numId w:val="17"/>
        </w:numPr>
        <w:spacing w:after="0" w:line="288" w:lineRule="auto"/>
        <w:ind w:left="357" w:hanging="357"/>
        <w:jc w:val="both"/>
      </w:pPr>
      <w:r>
        <w:rPr>
          <w:rFonts w:ascii="Times New Roman" w:hAnsi="Times New Roman"/>
        </w:rPr>
        <w:t>sondear medidas conjuntas de comunicación, cuando proceda;</w:t>
      </w:r>
    </w:p>
    <w:p w:rsidR="006D7CA9" w:rsidRPr="007D6282" w:rsidRDefault="007A1EBE" w:rsidP="007D6282">
      <w:pPr>
        <w:pStyle w:val="ListParagraph"/>
        <w:numPr>
          <w:ilvl w:val="0"/>
          <w:numId w:val="17"/>
        </w:numPr>
        <w:spacing w:after="0" w:line="288" w:lineRule="auto"/>
        <w:ind w:left="357" w:hanging="357"/>
        <w:jc w:val="both"/>
      </w:pPr>
      <w:r>
        <w:rPr>
          <w:rFonts w:ascii="Times New Roman" w:hAnsi="Times New Roman"/>
        </w:rPr>
        <w:t>estudiar sinergias con iniciativas de otras DG, como la asociación de la Plataforma Temática de Modernización Industrial S3 sobre Economía Social (</w:t>
      </w:r>
      <w:hyperlink r:id="rId15" w:history="1">
        <w:r>
          <w:rPr>
            <w:rStyle w:val="Hyperlink"/>
            <w:rFonts w:ascii="Times New Roman" w:hAnsi="Times New Roman"/>
          </w:rPr>
          <w:t>https://s3platform.jrc.ec.europa.eu/social-economy</w:t>
        </w:r>
      </w:hyperlink>
      <w:r>
        <w:rPr>
          <w:rFonts w:ascii="Times New Roman" w:hAnsi="Times New Roman"/>
        </w:rPr>
        <w:t>).</w:t>
      </w:r>
    </w:p>
    <w:p w:rsidR="006D7CA9" w:rsidRPr="007D6282" w:rsidRDefault="006D7CA9">
      <w:pPr>
        <w:rPr>
          <w:lang w:val="en-GB"/>
        </w:rPr>
      </w:pPr>
    </w:p>
    <w:p w:rsidR="006D7CA9" w:rsidRPr="007D6282" w:rsidRDefault="0068468C" w:rsidP="007D6282">
      <w:pPr>
        <w:pStyle w:val="Heading1"/>
        <w:rPr>
          <w:rFonts w:ascii="Times New Roman" w:eastAsia="Times New Roman" w:hAnsi="Times New Roman" w:cs="Times New Roman"/>
          <w:b/>
          <w:color w:val="000000" w:themeColor="text1"/>
          <w:sz w:val="24"/>
          <w:szCs w:val="24"/>
        </w:rPr>
      </w:pPr>
      <w:r>
        <w:rPr>
          <w:rFonts w:ascii="Times New Roman" w:hAnsi="Times New Roman"/>
          <w:b/>
          <w:color w:val="000000" w:themeColor="text1"/>
          <w:sz w:val="24"/>
          <w:szCs w:val="24"/>
        </w:rPr>
        <w:t xml:space="preserve">4. </w:t>
      </w:r>
      <w:r>
        <w:rPr>
          <w:rFonts w:ascii="Times New Roman" w:hAnsi="Times New Roman"/>
          <w:b/>
          <w:color w:val="000000" w:themeColor="text1"/>
          <w:sz w:val="24"/>
          <w:szCs w:val="24"/>
        </w:rPr>
        <w:tab/>
        <w:t>Próximos pasos</w:t>
      </w:r>
    </w:p>
    <w:p w:rsidR="006D7CA9" w:rsidRPr="007D6282" w:rsidRDefault="006D7CA9" w:rsidP="007D6282">
      <w:pPr>
        <w:keepNext/>
        <w:rPr>
          <w:lang w:val="en-GB"/>
        </w:rPr>
      </w:pPr>
    </w:p>
    <w:p w:rsidR="000F448C" w:rsidRPr="003814FB" w:rsidRDefault="00DC0DF4" w:rsidP="007D6282">
      <w:pPr>
        <w:jc w:val="both"/>
      </w:pPr>
      <w:r>
        <w:t>Tanto la DG EMPL como el CDR establecerán personas de contacto para detallar el concepto y las modalidades para hacer realidad las «Ferias Europeas de Empleo Local» y para garantizar una cooperación y coordinación fluidas de las actuaciones a nivel administrativo.</w:t>
      </w:r>
    </w:p>
    <w:sectPr w:rsidR="000F448C" w:rsidRPr="003814FB" w:rsidSect="003831AE">
      <w:footerReference w:type="default" r:id="rId16"/>
      <w:pgSz w:w="11906" w:h="16838"/>
      <w:pgMar w:top="1417" w:right="1417" w:bottom="1417" w:left="1417" w:header="709" w:footer="709"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E8C63B" w16cex:dateUtc="2020-08-20T07:51:00Z"/>
  <w16cex:commentExtensible w16cex:durableId="22E8C6C8" w16cex:dateUtc="2020-08-20T07:54:00Z"/>
  <w16cex:commentExtensible w16cex:durableId="22E8C78A" w16cex:dateUtc="2020-08-20T07:57:00Z"/>
  <w16cex:commentExtensible w16cex:durableId="22E8CDF2" w16cex:dateUtc="2020-08-20T08: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6440FE8" w16cid:durableId="22E8C63B"/>
  <w16cid:commentId w16cid:paraId="7CC3FC94" w16cid:durableId="22E8C6C8"/>
  <w16cid:commentId w16cid:paraId="1E5534BC" w16cid:durableId="22ED245B"/>
  <w16cid:commentId w16cid:paraId="1847A8FA" w16cid:durableId="22E8C78A"/>
  <w16cid:commentId w16cid:paraId="69CE8917" w16cid:durableId="22E771BD"/>
  <w16cid:commentId w16cid:paraId="29D3282F" w16cid:durableId="22E8CDF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3784" w:rsidRDefault="00683784" w:rsidP="007E71D2">
      <w:pPr>
        <w:spacing w:line="240" w:lineRule="auto"/>
      </w:pPr>
      <w:r>
        <w:separator/>
      </w:r>
    </w:p>
  </w:endnote>
  <w:endnote w:type="continuationSeparator" w:id="0">
    <w:p w:rsidR="00683784" w:rsidRDefault="00683784" w:rsidP="007E71D2">
      <w:pPr>
        <w:spacing w:line="240" w:lineRule="auto"/>
      </w:pPr>
      <w:r>
        <w:continuationSeparator/>
      </w:r>
    </w:p>
  </w:endnote>
  <w:endnote w:type="continuationNotice" w:id="1">
    <w:p w:rsidR="00683784" w:rsidRDefault="0068378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4022340"/>
      <w:docPartObj>
        <w:docPartGallery w:val="Page Numbers (Bottom of Page)"/>
        <w:docPartUnique/>
      </w:docPartObj>
    </w:sdtPr>
    <w:sdtEndPr>
      <w:rPr>
        <w:noProof/>
      </w:rPr>
    </w:sdtEndPr>
    <w:sdtContent>
      <w:p w:rsidR="00EB2F01" w:rsidRDefault="00EB2F01" w:rsidP="007D6282">
        <w:pPr>
          <w:pStyle w:val="Footer"/>
          <w:jc w:val="center"/>
        </w:pPr>
        <w:r>
          <w:fldChar w:fldCharType="begin"/>
        </w:r>
        <w:r>
          <w:instrText xml:space="preserve"> PAGE   \* MERGEFORMAT </w:instrText>
        </w:r>
        <w:r>
          <w:fldChar w:fldCharType="separate"/>
        </w:r>
        <w:r w:rsidR="005D56CE">
          <w:rPr>
            <w:noProof/>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3784" w:rsidRDefault="00683784" w:rsidP="007E71D2">
      <w:pPr>
        <w:spacing w:line="240" w:lineRule="auto"/>
      </w:pPr>
      <w:r>
        <w:separator/>
      </w:r>
    </w:p>
  </w:footnote>
  <w:footnote w:type="continuationSeparator" w:id="0">
    <w:p w:rsidR="00683784" w:rsidRDefault="00683784" w:rsidP="007E71D2">
      <w:pPr>
        <w:spacing w:line="240" w:lineRule="auto"/>
      </w:pPr>
      <w:r>
        <w:continuationSeparator/>
      </w:r>
    </w:p>
  </w:footnote>
  <w:footnote w:type="continuationNotice" w:id="1">
    <w:p w:rsidR="00683784" w:rsidRDefault="00683784">
      <w:pPr>
        <w:spacing w:line="240" w:lineRule="auto"/>
      </w:pPr>
    </w:p>
  </w:footnote>
  <w:footnote w:id="2">
    <w:p w:rsidR="00EB2F01" w:rsidRPr="007D6282" w:rsidRDefault="00EB2F01" w:rsidP="00C82EBC">
      <w:pPr>
        <w:pStyle w:val="FootnoteText"/>
        <w:tabs>
          <w:tab w:val="left" w:pos="567"/>
        </w:tabs>
        <w:rPr>
          <w:sz w:val="16"/>
          <w:szCs w:val="16"/>
        </w:rPr>
      </w:pPr>
      <w:r>
        <w:rPr>
          <w:rStyle w:val="FootnoteReference"/>
          <w:sz w:val="24"/>
          <w:szCs w:val="24"/>
        </w:rPr>
        <w:footnoteRef/>
      </w:r>
      <w:r>
        <w:t xml:space="preserve"> </w:t>
      </w:r>
      <w:r>
        <w:tab/>
      </w:r>
      <w:hyperlink r:id="rId1" w:history="1">
        <w:r>
          <w:rPr>
            <w:rStyle w:val="Hyperlink"/>
            <w:sz w:val="16"/>
            <w:szCs w:val="16"/>
          </w:rPr>
          <w:t>https://ec.europa.eu/commission/sites/beta-political/files/reflection-paper-social-dimension-europe_es.pdf</w:t>
        </w:r>
      </w:hyperlink>
    </w:p>
  </w:footnote>
  <w:footnote w:id="3">
    <w:p w:rsidR="00EB2F01" w:rsidRPr="007D6282" w:rsidRDefault="00EB2F01" w:rsidP="007D6282">
      <w:pPr>
        <w:pStyle w:val="FootnoteText"/>
        <w:tabs>
          <w:tab w:val="left" w:pos="567"/>
        </w:tabs>
        <w:rPr>
          <w:sz w:val="16"/>
          <w:szCs w:val="16"/>
        </w:rPr>
      </w:pPr>
      <w:r>
        <w:rPr>
          <w:rStyle w:val="FootnoteReference"/>
          <w:sz w:val="24"/>
          <w:szCs w:val="24"/>
        </w:rPr>
        <w:footnoteRef/>
      </w:r>
      <w:r>
        <w:t xml:space="preserve"> </w:t>
      </w:r>
      <w:r>
        <w:tab/>
      </w:r>
      <w:hyperlink r:id="rId2" w:history="1">
        <w:r>
          <w:rPr>
            <w:rStyle w:val="Hyperlink"/>
            <w:sz w:val="16"/>
            <w:szCs w:val="16"/>
          </w:rPr>
          <w:t>https://eur-lex.europa.eu/LexUriServ/LexUriServ.do?uri=OJ:C:2012:102:0006:0010:ES:PDF</w:t>
        </w:r>
      </w:hyperlink>
    </w:p>
  </w:footnote>
  <w:footnote w:id="4">
    <w:p w:rsidR="00EB2F01" w:rsidRPr="007D6282" w:rsidRDefault="00EB2F01" w:rsidP="007D6282">
      <w:pPr>
        <w:pStyle w:val="FootnoteText"/>
        <w:tabs>
          <w:tab w:val="left" w:pos="567"/>
        </w:tabs>
        <w:ind w:left="567" w:hanging="567"/>
        <w:rPr>
          <w:sz w:val="16"/>
          <w:szCs w:val="16"/>
        </w:rPr>
      </w:pPr>
      <w:r>
        <w:rPr>
          <w:rStyle w:val="FootnoteReference"/>
          <w:sz w:val="24"/>
          <w:szCs w:val="24"/>
        </w:rPr>
        <w:footnoteRef/>
      </w:r>
      <w:r>
        <w:rPr>
          <w:sz w:val="16"/>
          <w:szCs w:val="16"/>
        </w:rPr>
        <w:t xml:space="preserve"> </w:t>
      </w:r>
      <w:r>
        <w:rPr>
          <w:sz w:val="16"/>
          <w:szCs w:val="16"/>
        </w:rPr>
        <w:tab/>
        <w:t>COM(2020) 447 final.</w:t>
      </w:r>
    </w:p>
  </w:footnote>
  <w:footnote w:id="5">
    <w:p w:rsidR="00EB2F01" w:rsidRPr="007D6282" w:rsidRDefault="00EB2F01" w:rsidP="007D6282">
      <w:pPr>
        <w:pStyle w:val="FootnoteText"/>
        <w:tabs>
          <w:tab w:val="left" w:pos="567"/>
        </w:tabs>
        <w:ind w:left="567" w:hanging="567"/>
        <w:rPr>
          <w:sz w:val="16"/>
          <w:szCs w:val="16"/>
        </w:rPr>
      </w:pPr>
      <w:r>
        <w:rPr>
          <w:rStyle w:val="FootnoteReference"/>
          <w:sz w:val="24"/>
          <w:szCs w:val="24"/>
        </w:rPr>
        <w:footnoteRef/>
      </w:r>
      <w:r>
        <w:rPr>
          <w:rStyle w:val="FootnoteReference"/>
          <w:sz w:val="24"/>
          <w:szCs w:val="24"/>
        </w:rPr>
        <w:t xml:space="preserve"> </w:t>
      </w:r>
      <w:r>
        <w:rPr>
          <w:sz w:val="16"/>
          <w:szCs w:val="16"/>
        </w:rPr>
        <w:tab/>
        <w:t>En la Comunicación titulada «Apoyo al empleo juvenil: un puente hacia el empleo para la próxima generación» [COM(2020) 276 final], la Comisión instó a los Estados miembros a intensificar el apoyo al empleo juvenil y aumentar el nivel dedicado a este objetivo en comparación con el período de financiación 2014-2020, que se estima en 22 000 millones de euros.</w:t>
      </w:r>
    </w:p>
  </w:footnote>
  <w:footnote w:id="6">
    <w:p w:rsidR="00EB2F01" w:rsidRPr="007D6282" w:rsidRDefault="00EB2F01" w:rsidP="007D6282">
      <w:pPr>
        <w:pStyle w:val="FootnoteText"/>
        <w:tabs>
          <w:tab w:val="left" w:pos="567"/>
        </w:tabs>
        <w:ind w:left="567" w:hanging="567"/>
        <w:rPr>
          <w:sz w:val="16"/>
          <w:szCs w:val="16"/>
        </w:rPr>
      </w:pPr>
      <w:r>
        <w:rPr>
          <w:rStyle w:val="FootnoteReference"/>
          <w:sz w:val="24"/>
          <w:szCs w:val="24"/>
        </w:rPr>
        <w:footnoteRef/>
      </w:r>
      <w:r>
        <w:rPr>
          <w:sz w:val="16"/>
          <w:szCs w:val="16"/>
        </w:rPr>
        <w:t xml:space="preserve"> </w:t>
      </w:r>
      <w:r>
        <w:rPr>
          <w:sz w:val="16"/>
          <w:szCs w:val="16"/>
        </w:rPr>
        <w:tab/>
        <w:t>El Consejo ha alcanzado un acuerdo político sobre su Recomendación titulada «Un puente hacia el empleo: refuerzo de la Garantía Juvenil» y la adoptará antes de finales de 2020.</w:t>
      </w:r>
    </w:p>
  </w:footnote>
  <w:footnote w:id="7">
    <w:p w:rsidR="00EB2F01" w:rsidRPr="007D6282" w:rsidRDefault="00EB2F01" w:rsidP="007D6282">
      <w:pPr>
        <w:pStyle w:val="FootnoteText"/>
        <w:tabs>
          <w:tab w:val="left" w:pos="567"/>
        </w:tabs>
        <w:ind w:left="567" w:hanging="567"/>
        <w:rPr>
          <w:sz w:val="16"/>
          <w:szCs w:val="16"/>
        </w:rPr>
      </w:pPr>
      <w:r>
        <w:rPr>
          <w:rStyle w:val="FootnoteReference"/>
          <w:sz w:val="24"/>
          <w:szCs w:val="24"/>
        </w:rPr>
        <w:footnoteRef/>
      </w:r>
      <w:r>
        <w:rPr>
          <w:sz w:val="16"/>
          <w:szCs w:val="16"/>
        </w:rPr>
        <w:t xml:space="preserve"> </w:t>
      </w:r>
      <w:r>
        <w:rPr>
          <w:sz w:val="16"/>
          <w:szCs w:val="16"/>
        </w:rPr>
        <w:tab/>
        <w:t xml:space="preserve">COM(2020) 276 final. </w:t>
      </w:r>
    </w:p>
  </w:footnote>
  <w:footnote w:id="8">
    <w:p w:rsidR="002867F1" w:rsidRPr="007D6282" w:rsidRDefault="002867F1">
      <w:pPr>
        <w:pStyle w:val="FootnoteText"/>
        <w:rPr>
          <w:sz w:val="16"/>
          <w:szCs w:val="16"/>
        </w:rPr>
      </w:pPr>
      <w:r>
        <w:rPr>
          <w:rStyle w:val="FootnoteReference"/>
          <w:sz w:val="24"/>
          <w:szCs w:val="24"/>
        </w:rPr>
        <w:footnoteRef/>
      </w:r>
      <w:r>
        <w:t xml:space="preserve"> </w:t>
      </w:r>
      <w:r>
        <w:tab/>
      </w:r>
      <w:r>
        <w:rPr>
          <w:sz w:val="16"/>
          <w:szCs w:val="16"/>
        </w:rPr>
        <w:t>COM(2020) 274 final.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341C97EA"/>
    <w:lvl w:ilvl="0">
      <w:start w:val="1"/>
      <w:numFmt w:val="decimal"/>
      <w:lvlText w:val="%1."/>
      <w:legacy w:legacy="1" w:legacySpace="0" w:legacyIndent="0"/>
      <w:lvlJc w:val="left"/>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egacy w:legacy="1" w:legacySpace="144" w:legacyIndent="0"/>
      <w:lvlJc w:val="left"/>
      <w:rPr>
        <w:b w:val="0"/>
      </w:rPr>
    </w:lvl>
    <w:lvl w:ilvl="2">
      <w:start w:val="1"/>
      <w:numFmt w:val="decimal"/>
      <w:lvlText w:val="%1.%2.%3"/>
      <w:legacy w:legacy="1" w:legacySpace="144" w:legacyIndent="0"/>
      <w:lvlJc w:val="left"/>
      <w:rPr>
        <w:b w:val="0"/>
      </w:rPr>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575010D"/>
    <w:multiLevelType w:val="hybridMultilevel"/>
    <w:tmpl w:val="E924CD2E"/>
    <w:lvl w:ilvl="0" w:tplc="08090001">
      <w:start w:val="1"/>
      <w:numFmt w:val="bullet"/>
      <w:lvlText w:val=""/>
      <w:lvlJc w:val="left"/>
      <w:pPr>
        <w:ind w:left="360" w:hanging="360"/>
      </w:pPr>
      <w:rPr>
        <w:rFonts w:ascii="Symbol" w:hAnsi="Symbol"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 w15:restartNumberingAfterBreak="0">
    <w:nsid w:val="08E26D84"/>
    <w:multiLevelType w:val="hybridMultilevel"/>
    <w:tmpl w:val="3C9A2C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AE10D59"/>
    <w:multiLevelType w:val="hybridMultilevel"/>
    <w:tmpl w:val="A8204F2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D360DF6"/>
    <w:multiLevelType w:val="hybridMultilevel"/>
    <w:tmpl w:val="DEACEA1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0F637C1B"/>
    <w:multiLevelType w:val="hybridMultilevel"/>
    <w:tmpl w:val="DE224F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64794F"/>
    <w:multiLevelType w:val="hybridMultilevel"/>
    <w:tmpl w:val="2F448F7A"/>
    <w:lvl w:ilvl="0" w:tplc="08090001">
      <w:start w:val="1"/>
      <w:numFmt w:val="bullet"/>
      <w:lvlText w:val=""/>
      <w:lvlJc w:val="left"/>
      <w:pPr>
        <w:ind w:left="1068" w:hanging="360"/>
      </w:pPr>
      <w:rPr>
        <w:rFonts w:ascii="Symbol" w:hAnsi="Symbol"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7" w15:restartNumberingAfterBreak="0">
    <w:nsid w:val="16AF6D72"/>
    <w:multiLevelType w:val="hybridMultilevel"/>
    <w:tmpl w:val="0156BE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92E3ADF"/>
    <w:multiLevelType w:val="hybridMultilevel"/>
    <w:tmpl w:val="988469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E4A2E0E"/>
    <w:multiLevelType w:val="hybridMultilevel"/>
    <w:tmpl w:val="077EC1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5FB3D22"/>
    <w:multiLevelType w:val="hybridMultilevel"/>
    <w:tmpl w:val="C8C49C4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260A0A3A"/>
    <w:multiLevelType w:val="hybridMultilevel"/>
    <w:tmpl w:val="19C28C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685706E"/>
    <w:multiLevelType w:val="hybridMultilevel"/>
    <w:tmpl w:val="2D3CA368"/>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3" w15:restartNumberingAfterBreak="0">
    <w:nsid w:val="27DF3DB0"/>
    <w:multiLevelType w:val="hybridMultilevel"/>
    <w:tmpl w:val="B4328B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90727B0"/>
    <w:multiLevelType w:val="hybridMultilevel"/>
    <w:tmpl w:val="67E07DC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2D4864EC"/>
    <w:multiLevelType w:val="hybridMultilevel"/>
    <w:tmpl w:val="150CDCA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6" w15:restartNumberingAfterBreak="0">
    <w:nsid w:val="30D35B15"/>
    <w:multiLevelType w:val="hybridMultilevel"/>
    <w:tmpl w:val="FC4476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49C1308"/>
    <w:multiLevelType w:val="hybridMultilevel"/>
    <w:tmpl w:val="D716FD64"/>
    <w:lvl w:ilvl="0" w:tplc="04090019">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1819A8"/>
    <w:multiLevelType w:val="hybridMultilevel"/>
    <w:tmpl w:val="D310C6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9DA2403"/>
    <w:multiLevelType w:val="hybridMultilevel"/>
    <w:tmpl w:val="8A4296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3D9E1247"/>
    <w:multiLevelType w:val="hybridMultilevel"/>
    <w:tmpl w:val="1F4C32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414E37"/>
    <w:multiLevelType w:val="hybridMultilevel"/>
    <w:tmpl w:val="2C5C0F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4E36E80"/>
    <w:multiLevelType w:val="hybridMultilevel"/>
    <w:tmpl w:val="0E66A7FE"/>
    <w:lvl w:ilvl="0" w:tplc="0809000F">
      <w:start w:val="1"/>
      <w:numFmt w:val="decimal"/>
      <w:lvlText w:val="%1."/>
      <w:lvlJc w:val="left"/>
      <w:pPr>
        <w:ind w:left="360" w:hanging="360"/>
      </w:pPr>
    </w:lvl>
    <w:lvl w:ilvl="1" w:tplc="3CE6A304">
      <w:numFmt w:val="bullet"/>
      <w:lvlText w:val=""/>
      <w:lvlJc w:val="left"/>
      <w:pPr>
        <w:ind w:left="1080" w:hanging="360"/>
      </w:pPr>
      <w:rPr>
        <w:rFonts w:ascii="Times New Roman" w:eastAsia="Times New Roman" w:hAnsi="Times New Roman" w:cs="Times New Roman"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46351A38"/>
    <w:multiLevelType w:val="hybridMultilevel"/>
    <w:tmpl w:val="3162C30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485E14A5"/>
    <w:multiLevelType w:val="hybridMultilevel"/>
    <w:tmpl w:val="5CC67A6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4877317D"/>
    <w:multiLevelType w:val="hybridMultilevel"/>
    <w:tmpl w:val="6A885AB2"/>
    <w:lvl w:ilvl="0" w:tplc="3F1A2BB6">
      <w:start w:val="19"/>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6" w15:restartNumberingAfterBreak="0">
    <w:nsid w:val="510161A9"/>
    <w:multiLevelType w:val="hybridMultilevel"/>
    <w:tmpl w:val="9EE40B06"/>
    <w:lvl w:ilvl="0" w:tplc="222075E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25E36C4"/>
    <w:multiLevelType w:val="hybridMultilevel"/>
    <w:tmpl w:val="8B62B0B8"/>
    <w:lvl w:ilvl="0" w:tplc="08090001">
      <w:start w:val="1"/>
      <w:numFmt w:val="bullet"/>
      <w:lvlText w:val=""/>
      <w:lvlJc w:val="left"/>
      <w:pPr>
        <w:ind w:left="720" w:hanging="360"/>
      </w:pPr>
      <w:rPr>
        <w:rFonts w:ascii="Symbol" w:hAnsi="Symbol"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8" w15:restartNumberingAfterBreak="0">
    <w:nsid w:val="59F14D7F"/>
    <w:multiLevelType w:val="hybridMultilevel"/>
    <w:tmpl w:val="7F2E71E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5F7E2FCA"/>
    <w:multiLevelType w:val="hybridMultilevel"/>
    <w:tmpl w:val="3446BE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AE70112"/>
    <w:multiLevelType w:val="hybridMultilevel"/>
    <w:tmpl w:val="93C8C5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6BED3DA0"/>
    <w:multiLevelType w:val="hybridMultilevel"/>
    <w:tmpl w:val="CC3257E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6F207D62"/>
    <w:multiLevelType w:val="hybridMultilevel"/>
    <w:tmpl w:val="BF525C3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71825AC9"/>
    <w:multiLevelType w:val="hybridMultilevel"/>
    <w:tmpl w:val="2744D9E4"/>
    <w:lvl w:ilvl="0" w:tplc="222075E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1FA460E"/>
    <w:multiLevelType w:val="multilevel"/>
    <w:tmpl w:val="C150BB92"/>
    <w:lvl w:ilvl="0">
      <w:start w:val="1"/>
      <w:numFmt w:val="decimal"/>
      <w:lvlText w:val="%1."/>
      <w:lvlJc w:val="left"/>
      <w:pPr>
        <w:ind w:left="360" w:hanging="360"/>
      </w:pPr>
      <w:rPr>
        <w:rFonts w:hint="default"/>
      </w:rPr>
    </w:lvl>
    <w:lvl w:ilvl="1">
      <w:start w:val="4"/>
      <w:numFmt w:val="decimal"/>
      <w:isLgl/>
      <w:lvlText w:val="%1.%2."/>
      <w:lvlJc w:val="left"/>
      <w:pPr>
        <w:ind w:left="570" w:hanging="570"/>
      </w:pPr>
      <w:rPr>
        <w:rFonts w:hint="default"/>
      </w:rPr>
    </w:lvl>
    <w:lvl w:ilvl="2">
      <w:start w:val="5"/>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5" w15:restartNumberingAfterBreak="0">
    <w:nsid w:val="77891A7C"/>
    <w:multiLevelType w:val="hybridMultilevel"/>
    <w:tmpl w:val="672808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7D15C8B"/>
    <w:multiLevelType w:val="hybridMultilevel"/>
    <w:tmpl w:val="35403730"/>
    <w:lvl w:ilvl="0" w:tplc="080C000F">
      <w:start w:val="1"/>
      <w:numFmt w:val="decimal"/>
      <w:lvlText w:val="%1."/>
      <w:lvlJc w:val="left"/>
      <w:pPr>
        <w:ind w:left="720" w:hanging="360"/>
      </w:pPr>
      <w:rPr>
        <w:rFonts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7" w15:restartNumberingAfterBreak="0">
    <w:nsid w:val="78D84E72"/>
    <w:multiLevelType w:val="hybridMultilevel"/>
    <w:tmpl w:val="6D82B13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7AA266CD"/>
    <w:multiLevelType w:val="hybridMultilevel"/>
    <w:tmpl w:val="8B2A6BE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7C424AAB"/>
    <w:multiLevelType w:val="hybridMultilevel"/>
    <w:tmpl w:val="768A0C8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7CFD3F4A"/>
    <w:multiLevelType w:val="hybridMultilevel"/>
    <w:tmpl w:val="5144F4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1" w15:restartNumberingAfterBreak="0">
    <w:nsid w:val="7DD351C0"/>
    <w:multiLevelType w:val="hybridMultilevel"/>
    <w:tmpl w:val="F27AE6A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18"/>
  </w:num>
  <w:num w:numId="4">
    <w:abstractNumId w:val="13"/>
  </w:num>
  <w:num w:numId="5">
    <w:abstractNumId w:val="31"/>
  </w:num>
  <w:num w:numId="6">
    <w:abstractNumId w:val="9"/>
  </w:num>
  <w:num w:numId="7">
    <w:abstractNumId w:val="8"/>
  </w:num>
  <w:num w:numId="8">
    <w:abstractNumId w:val="40"/>
  </w:num>
  <w:num w:numId="9">
    <w:abstractNumId w:val="15"/>
  </w:num>
  <w:num w:numId="10">
    <w:abstractNumId w:val="3"/>
  </w:num>
  <w:num w:numId="11">
    <w:abstractNumId w:val="30"/>
  </w:num>
  <w:num w:numId="12">
    <w:abstractNumId w:val="14"/>
  </w:num>
  <w:num w:numId="13">
    <w:abstractNumId w:val="36"/>
  </w:num>
  <w:num w:numId="14">
    <w:abstractNumId w:val="27"/>
  </w:num>
  <w:num w:numId="15">
    <w:abstractNumId w:val="2"/>
  </w:num>
  <w:num w:numId="16">
    <w:abstractNumId w:val="22"/>
  </w:num>
  <w:num w:numId="17">
    <w:abstractNumId w:val="12"/>
  </w:num>
  <w:num w:numId="18">
    <w:abstractNumId w:val="25"/>
  </w:num>
  <w:num w:numId="19">
    <w:abstractNumId w:val="20"/>
  </w:num>
  <w:num w:numId="20">
    <w:abstractNumId w:val="23"/>
  </w:num>
  <w:num w:numId="21">
    <w:abstractNumId w:val="21"/>
  </w:num>
  <w:num w:numId="22">
    <w:abstractNumId w:val="34"/>
  </w:num>
  <w:num w:numId="23">
    <w:abstractNumId w:val="5"/>
  </w:num>
  <w:num w:numId="24">
    <w:abstractNumId w:val="16"/>
  </w:num>
  <w:num w:numId="25">
    <w:abstractNumId w:val="17"/>
  </w:num>
  <w:num w:numId="26">
    <w:abstractNumId w:val="35"/>
  </w:num>
  <w:num w:numId="27">
    <w:abstractNumId w:val="11"/>
  </w:num>
  <w:num w:numId="28">
    <w:abstractNumId w:val="26"/>
  </w:num>
  <w:num w:numId="29">
    <w:abstractNumId w:val="33"/>
  </w:num>
  <w:num w:numId="30">
    <w:abstractNumId w:val="32"/>
  </w:num>
  <w:num w:numId="31">
    <w:abstractNumId w:val="7"/>
  </w:num>
  <w:num w:numId="32">
    <w:abstractNumId w:val="38"/>
  </w:num>
  <w:num w:numId="33">
    <w:abstractNumId w:val="29"/>
  </w:num>
  <w:num w:numId="34">
    <w:abstractNumId w:val="24"/>
  </w:num>
  <w:num w:numId="35">
    <w:abstractNumId w:val="28"/>
  </w:num>
  <w:num w:numId="36">
    <w:abstractNumId w:val="41"/>
  </w:num>
  <w:num w:numId="37">
    <w:abstractNumId w:val="6"/>
  </w:num>
  <w:num w:numId="38">
    <w:abstractNumId w:val="37"/>
  </w:num>
  <w:num w:numId="39">
    <w:abstractNumId w:val="39"/>
  </w:num>
  <w:num w:numId="40">
    <w:abstractNumId w:val="19"/>
  </w:num>
  <w:num w:numId="41">
    <w:abstractNumId w:val="10"/>
  </w:num>
  <w:num w:numId="42">
    <w:abstractNumId w:val="4"/>
  </w:num>
  <w:num w:numId="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567"/>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2285A"/>
    <w:rsid w:val="000115F3"/>
    <w:rsid w:val="00014693"/>
    <w:rsid w:val="00014E6A"/>
    <w:rsid w:val="0001607A"/>
    <w:rsid w:val="0002399B"/>
    <w:rsid w:val="00025C0A"/>
    <w:rsid w:val="00032B76"/>
    <w:rsid w:val="00034B02"/>
    <w:rsid w:val="00041D24"/>
    <w:rsid w:val="00046905"/>
    <w:rsid w:val="0005130E"/>
    <w:rsid w:val="00052C63"/>
    <w:rsid w:val="00052CB0"/>
    <w:rsid w:val="00053254"/>
    <w:rsid w:val="00053923"/>
    <w:rsid w:val="0005456E"/>
    <w:rsid w:val="00067F05"/>
    <w:rsid w:val="00081341"/>
    <w:rsid w:val="00092FB6"/>
    <w:rsid w:val="000938C4"/>
    <w:rsid w:val="000A0D57"/>
    <w:rsid w:val="000A676E"/>
    <w:rsid w:val="000A7400"/>
    <w:rsid w:val="000B6015"/>
    <w:rsid w:val="000B6528"/>
    <w:rsid w:val="000D7781"/>
    <w:rsid w:val="000F034A"/>
    <w:rsid w:val="000F3666"/>
    <w:rsid w:val="000F448C"/>
    <w:rsid w:val="00100433"/>
    <w:rsid w:val="00122601"/>
    <w:rsid w:val="001303C7"/>
    <w:rsid w:val="00131BAD"/>
    <w:rsid w:val="00133C10"/>
    <w:rsid w:val="00135709"/>
    <w:rsid w:val="00141B6A"/>
    <w:rsid w:val="001508E5"/>
    <w:rsid w:val="00150CCB"/>
    <w:rsid w:val="00151730"/>
    <w:rsid w:val="00161FA6"/>
    <w:rsid w:val="00162E43"/>
    <w:rsid w:val="001631DE"/>
    <w:rsid w:val="00164507"/>
    <w:rsid w:val="00164C40"/>
    <w:rsid w:val="00165C5A"/>
    <w:rsid w:val="00170B9B"/>
    <w:rsid w:val="00176CAE"/>
    <w:rsid w:val="0018679E"/>
    <w:rsid w:val="00192316"/>
    <w:rsid w:val="00194608"/>
    <w:rsid w:val="001A2814"/>
    <w:rsid w:val="001A2928"/>
    <w:rsid w:val="001A2D75"/>
    <w:rsid w:val="001B3DE5"/>
    <w:rsid w:val="001B62E2"/>
    <w:rsid w:val="001C24E4"/>
    <w:rsid w:val="001C2739"/>
    <w:rsid w:val="001D1C58"/>
    <w:rsid w:val="001D49B1"/>
    <w:rsid w:val="001D6B54"/>
    <w:rsid w:val="001D7401"/>
    <w:rsid w:val="001E18B4"/>
    <w:rsid w:val="001F20A4"/>
    <w:rsid w:val="00202FA0"/>
    <w:rsid w:val="00206C91"/>
    <w:rsid w:val="00207F48"/>
    <w:rsid w:val="002143E7"/>
    <w:rsid w:val="00216B6A"/>
    <w:rsid w:val="00221331"/>
    <w:rsid w:val="002302EF"/>
    <w:rsid w:val="0023381A"/>
    <w:rsid w:val="00234ED5"/>
    <w:rsid w:val="0023752B"/>
    <w:rsid w:val="00237BCF"/>
    <w:rsid w:val="00256E2E"/>
    <w:rsid w:val="00256F0C"/>
    <w:rsid w:val="002574BD"/>
    <w:rsid w:val="00267B85"/>
    <w:rsid w:val="00275FB7"/>
    <w:rsid w:val="00276AF1"/>
    <w:rsid w:val="00283BCC"/>
    <w:rsid w:val="002849B5"/>
    <w:rsid w:val="002867F1"/>
    <w:rsid w:val="00297A95"/>
    <w:rsid w:val="002C2A13"/>
    <w:rsid w:val="002D435E"/>
    <w:rsid w:val="002D4474"/>
    <w:rsid w:val="002D687E"/>
    <w:rsid w:val="002D78A2"/>
    <w:rsid w:val="002E4558"/>
    <w:rsid w:val="002E7C63"/>
    <w:rsid w:val="00302240"/>
    <w:rsid w:val="003179F6"/>
    <w:rsid w:val="0032643C"/>
    <w:rsid w:val="00330D7D"/>
    <w:rsid w:val="00343863"/>
    <w:rsid w:val="00356DF4"/>
    <w:rsid w:val="00360D28"/>
    <w:rsid w:val="00363E4E"/>
    <w:rsid w:val="0038092C"/>
    <w:rsid w:val="00381051"/>
    <w:rsid w:val="003814FB"/>
    <w:rsid w:val="003825D2"/>
    <w:rsid w:val="003831AE"/>
    <w:rsid w:val="00394636"/>
    <w:rsid w:val="00397E5D"/>
    <w:rsid w:val="003A17FB"/>
    <w:rsid w:val="003B12A8"/>
    <w:rsid w:val="003C1C84"/>
    <w:rsid w:val="003C2756"/>
    <w:rsid w:val="003C6A76"/>
    <w:rsid w:val="003D208F"/>
    <w:rsid w:val="003D64D4"/>
    <w:rsid w:val="003E0FE7"/>
    <w:rsid w:val="003E36A3"/>
    <w:rsid w:val="003F310F"/>
    <w:rsid w:val="00416589"/>
    <w:rsid w:val="00416F28"/>
    <w:rsid w:val="00421A56"/>
    <w:rsid w:val="00422DE3"/>
    <w:rsid w:val="00455FAA"/>
    <w:rsid w:val="00457987"/>
    <w:rsid w:val="004672CD"/>
    <w:rsid w:val="00467B9B"/>
    <w:rsid w:val="00474C1C"/>
    <w:rsid w:val="004817E9"/>
    <w:rsid w:val="00483C2D"/>
    <w:rsid w:val="0049793A"/>
    <w:rsid w:val="004A63B0"/>
    <w:rsid w:val="004C08B7"/>
    <w:rsid w:val="004C40A8"/>
    <w:rsid w:val="004D5A56"/>
    <w:rsid w:val="004D6DCD"/>
    <w:rsid w:val="004D765D"/>
    <w:rsid w:val="004E1969"/>
    <w:rsid w:val="004E394E"/>
    <w:rsid w:val="004E6147"/>
    <w:rsid w:val="004E6536"/>
    <w:rsid w:val="004E71CD"/>
    <w:rsid w:val="004F3E8B"/>
    <w:rsid w:val="004F4966"/>
    <w:rsid w:val="004F6D31"/>
    <w:rsid w:val="00501E02"/>
    <w:rsid w:val="00504067"/>
    <w:rsid w:val="00512960"/>
    <w:rsid w:val="00516393"/>
    <w:rsid w:val="0051715E"/>
    <w:rsid w:val="00520210"/>
    <w:rsid w:val="0052074E"/>
    <w:rsid w:val="00523C75"/>
    <w:rsid w:val="00527019"/>
    <w:rsid w:val="005366D6"/>
    <w:rsid w:val="00541BE3"/>
    <w:rsid w:val="00542BFC"/>
    <w:rsid w:val="00544F9B"/>
    <w:rsid w:val="00545845"/>
    <w:rsid w:val="00546AEC"/>
    <w:rsid w:val="00551DF1"/>
    <w:rsid w:val="00557917"/>
    <w:rsid w:val="005708AD"/>
    <w:rsid w:val="00574134"/>
    <w:rsid w:val="005810D1"/>
    <w:rsid w:val="00583165"/>
    <w:rsid w:val="00591229"/>
    <w:rsid w:val="005977FF"/>
    <w:rsid w:val="00597990"/>
    <w:rsid w:val="005A4DE6"/>
    <w:rsid w:val="005B2DC3"/>
    <w:rsid w:val="005B3884"/>
    <w:rsid w:val="005C55D6"/>
    <w:rsid w:val="005D06A9"/>
    <w:rsid w:val="005D56CE"/>
    <w:rsid w:val="005D5EB3"/>
    <w:rsid w:val="005E422E"/>
    <w:rsid w:val="00600069"/>
    <w:rsid w:val="00601828"/>
    <w:rsid w:val="006106B7"/>
    <w:rsid w:val="0062568E"/>
    <w:rsid w:val="00637313"/>
    <w:rsid w:val="006475F5"/>
    <w:rsid w:val="00651753"/>
    <w:rsid w:val="00662DAD"/>
    <w:rsid w:val="00680D0A"/>
    <w:rsid w:val="00683784"/>
    <w:rsid w:val="0068468C"/>
    <w:rsid w:val="00685424"/>
    <w:rsid w:val="00690EA1"/>
    <w:rsid w:val="006A0A27"/>
    <w:rsid w:val="006A3AC8"/>
    <w:rsid w:val="006A6308"/>
    <w:rsid w:val="006C313B"/>
    <w:rsid w:val="006C7232"/>
    <w:rsid w:val="006D03C7"/>
    <w:rsid w:val="006D7CA9"/>
    <w:rsid w:val="006E239E"/>
    <w:rsid w:val="006E25E8"/>
    <w:rsid w:val="006E2F96"/>
    <w:rsid w:val="006E637D"/>
    <w:rsid w:val="006F05D5"/>
    <w:rsid w:val="006F1412"/>
    <w:rsid w:val="00707604"/>
    <w:rsid w:val="00713D60"/>
    <w:rsid w:val="0072116E"/>
    <w:rsid w:val="00721DAE"/>
    <w:rsid w:val="0072285A"/>
    <w:rsid w:val="00727544"/>
    <w:rsid w:val="00733ED3"/>
    <w:rsid w:val="0073453E"/>
    <w:rsid w:val="00735CF1"/>
    <w:rsid w:val="0074046E"/>
    <w:rsid w:val="00760515"/>
    <w:rsid w:val="007753DD"/>
    <w:rsid w:val="00777281"/>
    <w:rsid w:val="00777E8D"/>
    <w:rsid w:val="007905B1"/>
    <w:rsid w:val="007923D6"/>
    <w:rsid w:val="00795798"/>
    <w:rsid w:val="007A1EBE"/>
    <w:rsid w:val="007A4C60"/>
    <w:rsid w:val="007C4B51"/>
    <w:rsid w:val="007D5468"/>
    <w:rsid w:val="007D6282"/>
    <w:rsid w:val="007D78B0"/>
    <w:rsid w:val="007E1479"/>
    <w:rsid w:val="007E71D2"/>
    <w:rsid w:val="007F06FE"/>
    <w:rsid w:val="007F2CBE"/>
    <w:rsid w:val="00802BB6"/>
    <w:rsid w:val="00812835"/>
    <w:rsid w:val="00813159"/>
    <w:rsid w:val="00813175"/>
    <w:rsid w:val="0081584B"/>
    <w:rsid w:val="00816F4D"/>
    <w:rsid w:val="00824102"/>
    <w:rsid w:val="0082432A"/>
    <w:rsid w:val="008334CE"/>
    <w:rsid w:val="00834904"/>
    <w:rsid w:val="00843D2C"/>
    <w:rsid w:val="00844255"/>
    <w:rsid w:val="00862342"/>
    <w:rsid w:val="00864E4E"/>
    <w:rsid w:val="008707AC"/>
    <w:rsid w:val="0087706E"/>
    <w:rsid w:val="008839C1"/>
    <w:rsid w:val="008911F1"/>
    <w:rsid w:val="00892F78"/>
    <w:rsid w:val="0089643A"/>
    <w:rsid w:val="008B149E"/>
    <w:rsid w:val="008C0E34"/>
    <w:rsid w:val="008C4469"/>
    <w:rsid w:val="008D2AB3"/>
    <w:rsid w:val="008D4711"/>
    <w:rsid w:val="008D5638"/>
    <w:rsid w:val="008E118B"/>
    <w:rsid w:val="008F79F2"/>
    <w:rsid w:val="00900A36"/>
    <w:rsid w:val="009049AD"/>
    <w:rsid w:val="00905E0B"/>
    <w:rsid w:val="00913EFC"/>
    <w:rsid w:val="0092426C"/>
    <w:rsid w:val="009243B3"/>
    <w:rsid w:val="00934DE3"/>
    <w:rsid w:val="009521C5"/>
    <w:rsid w:val="0095403B"/>
    <w:rsid w:val="009556D1"/>
    <w:rsid w:val="00955CC3"/>
    <w:rsid w:val="00956A7E"/>
    <w:rsid w:val="0096073F"/>
    <w:rsid w:val="00963831"/>
    <w:rsid w:val="00963907"/>
    <w:rsid w:val="00963CAE"/>
    <w:rsid w:val="00964812"/>
    <w:rsid w:val="00966530"/>
    <w:rsid w:val="00975F99"/>
    <w:rsid w:val="00980663"/>
    <w:rsid w:val="00987EAA"/>
    <w:rsid w:val="009A26F3"/>
    <w:rsid w:val="009A3B0A"/>
    <w:rsid w:val="009A6986"/>
    <w:rsid w:val="009B4D06"/>
    <w:rsid w:val="009D4BA6"/>
    <w:rsid w:val="009D61A0"/>
    <w:rsid w:val="009E1D16"/>
    <w:rsid w:val="009E50B1"/>
    <w:rsid w:val="009F12EC"/>
    <w:rsid w:val="00A01F44"/>
    <w:rsid w:val="00A10939"/>
    <w:rsid w:val="00A1673A"/>
    <w:rsid w:val="00A22BE1"/>
    <w:rsid w:val="00A22F3A"/>
    <w:rsid w:val="00A23EB5"/>
    <w:rsid w:val="00A26CF2"/>
    <w:rsid w:val="00A27344"/>
    <w:rsid w:val="00A3011E"/>
    <w:rsid w:val="00A31CB4"/>
    <w:rsid w:val="00A3420D"/>
    <w:rsid w:val="00A374F6"/>
    <w:rsid w:val="00A44404"/>
    <w:rsid w:val="00A44C00"/>
    <w:rsid w:val="00A571FB"/>
    <w:rsid w:val="00A60CBD"/>
    <w:rsid w:val="00A627FF"/>
    <w:rsid w:val="00A6794C"/>
    <w:rsid w:val="00AA0A34"/>
    <w:rsid w:val="00AC32BD"/>
    <w:rsid w:val="00AE25ED"/>
    <w:rsid w:val="00AE28C2"/>
    <w:rsid w:val="00AF2098"/>
    <w:rsid w:val="00AF3183"/>
    <w:rsid w:val="00B00737"/>
    <w:rsid w:val="00B106AE"/>
    <w:rsid w:val="00B2663E"/>
    <w:rsid w:val="00B322C0"/>
    <w:rsid w:val="00B34D34"/>
    <w:rsid w:val="00B40809"/>
    <w:rsid w:val="00B439B5"/>
    <w:rsid w:val="00B64CF9"/>
    <w:rsid w:val="00B65A9B"/>
    <w:rsid w:val="00B7123C"/>
    <w:rsid w:val="00B82791"/>
    <w:rsid w:val="00B84141"/>
    <w:rsid w:val="00B84E8E"/>
    <w:rsid w:val="00B8537F"/>
    <w:rsid w:val="00B85A43"/>
    <w:rsid w:val="00B8636D"/>
    <w:rsid w:val="00B8680B"/>
    <w:rsid w:val="00B87B5D"/>
    <w:rsid w:val="00B9336C"/>
    <w:rsid w:val="00BA1F92"/>
    <w:rsid w:val="00BB1B45"/>
    <w:rsid w:val="00BB2C93"/>
    <w:rsid w:val="00BB429C"/>
    <w:rsid w:val="00BB7CA9"/>
    <w:rsid w:val="00BC2F4F"/>
    <w:rsid w:val="00BC4DFB"/>
    <w:rsid w:val="00BD1A92"/>
    <w:rsid w:val="00BD5B75"/>
    <w:rsid w:val="00BE04A0"/>
    <w:rsid w:val="00BE4728"/>
    <w:rsid w:val="00BE4BA0"/>
    <w:rsid w:val="00C01120"/>
    <w:rsid w:val="00C01839"/>
    <w:rsid w:val="00C041EB"/>
    <w:rsid w:val="00C06CC1"/>
    <w:rsid w:val="00C06DC9"/>
    <w:rsid w:val="00C075AB"/>
    <w:rsid w:val="00C20C91"/>
    <w:rsid w:val="00C318C3"/>
    <w:rsid w:val="00C34231"/>
    <w:rsid w:val="00C35ACB"/>
    <w:rsid w:val="00C51CDC"/>
    <w:rsid w:val="00C608E8"/>
    <w:rsid w:val="00C62953"/>
    <w:rsid w:val="00C641F3"/>
    <w:rsid w:val="00C66625"/>
    <w:rsid w:val="00C6742B"/>
    <w:rsid w:val="00C75BF9"/>
    <w:rsid w:val="00C805EF"/>
    <w:rsid w:val="00C82EBC"/>
    <w:rsid w:val="00C84735"/>
    <w:rsid w:val="00C945EC"/>
    <w:rsid w:val="00C97045"/>
    <w:rsid w:val="00CA1F75"/>
    <w:rsid w:val="00CA2769"/>
    <w:rsid w:val="00CA5888"/>
    <w:rsid w:val="00CB01B5"/>
    <w:rsid w:val="00CB40F6"/>
    <w:rsid w:val="00CB59AB"/>
    <w:rsid w:val="00CB78E1"/>
    <w:rsid w:val="00CC0748"/>
    <w:rsid w:val="00CC2877"/>
    <w:rsid w:val="00CE0C02"/>
    <w:rsid w:val="00CE3FF6"/>
    <w:rsid w:val="00CE5349"/>
    <w:rsid w:val="00CE6161"/>
    <w:rsid w:val="00CE647D"/>
    <w:rsid w:val="00CF62BC"/>
    <w:rsid w:val="00D05EFB"/>
    <w:rsid w:val="00D21912"/>
    <w:rsid w:val="00D23217"/>
    <w:rsid w:val="00D2347B"/>
    <w:rsid w:val="00D30FFF"/>
    <w:rsid w:val="00D42921"/>
    <w:rsid w:val="00D46EE1"/>
    <w:rsid w:val="00D60C7D"/>
    <w:rsid w:val="00D62509"/>
    <w:rsid w:val="00D63D06"/>
    <w:rsid w:val="00D73854"/>
    <w:rsid w:val="00D83929"/>
    <w:rsid w:val="00D92803"/>
    <w:rsid w:val="00D95224"/>
    <w:rsid w:val="00D96749"/>
    <w:rsid w:val="00D970BA"/>
    <w:rsid w:val="00DA6BFC"/>
    <w:rsid w:val="00DC0DF4"/>
    <w:rsid w:val="00DC10FC"/>
    <w:rsid w:val="00DC130C"/>
    <w:rsid w:val="00DC5206"/>
    <w:rsid w:val="00DD5024"/>
    <w:rsid w:val="00DD6575"/>
    <w:rsid w:val="00DE0EAA"/>
    <w:rsid w:val="00DF7306"/>
    <w:rsid w:val="00E01C1B"/>
    <w:rsid w:val="00E01D16"/>
    <w:rsid w:val="00E02AB5"/>
    <w:rsid w:val="00E040F8"/>
    <w:rsid w:val="00E0617C"/>
    <w:rsid w:val="00E12B0B"/>
    <w:rsid w:val="00E136C4"/>
    <w:rsid w:val="00E15129"/>
    <w:rsid w:val="00E1591B"/>
    <w:rsid w:val="00E35306"/>
    <w:rsid w:val="00E3553B"/>
    <w:rsid w:val="00E416E1"/>
    <w:rsid w:val="00E437FD"/>
    <w:rsid w:val="00E44082"/>
    <w:rsid w:val="00E46B57"/>
    <w:rsid w:val="00E555CA"/>
    <w:rsid w:val="00E56486"/>
    <w:rsid w:val="00E6624D"/>
    <w:rsid w:val="00E70070"/>
    <w:rsid w:val="00E83696"/>
    <w:rsid w:val="00E92E7E"/>
    <w:rsid w:val="00EA2779"/>
    <w:rsid w:val="00EA509C"/>
    <w:rsid w:val="00EB1C0F"/>
    <w:rsid w:val="00EB2F01"/>
    <w:rsid w:val="00EB524C"/>
    <w:rsid w:val="00EB757B"/>
    <w:rsid w:val="00EC1680"/>
    <w:rsid w:val="00EC5B66"/>
    <w:rsid w:val="00ED149D"/>
    <w:rsid w:val="00ED15E6"/>
    <w:rsid w:val="00ED3456"/>
    <w:rsid w:val="00ED7ACC"/>
    <w:rsid w:val="00EE17DD"/>
    <w:rsid w:val="00EE2DE9"/>
    <w:rsid w:val="00EF2742"/>
    <w:rsid w:val="00EF499D"/>
    <w:rsid w:val="00EF64DD"/>
    <w:rsid w:val="00EF764C"/>
    <w:rsid w:val="00F04DCA"/>
    <w:rsid w:val="00F1181A"/>
    <w:rsid w:val="00F11EF0"/>
    <w:rsid w:val="00F12A32"/>
    <w:rsid w:val="00F1429C"/>
    <w:rsid w:val="00F165DD"/>
    <w:rsid w:val="00F2366F"/>
    <w:rsid w:val="00F32EC7"/>
    <w:rsid w:val="00F34D21"/>
    <w:rsid w:val="00F37A45"/>
    <w:rsid w:val="00F416B5"/>
    <w:rsid w:val="00F5129F"/>
    <w:rsid w:val="00F52BD7"/>
    <w:rsid w:val="00F56CB3"/>
    <w:rsid w:val="00F603F6"/>
    <w:rsid w:val="00F771E0"/>
    <w:rsid w:val="00F84647"/>
    <w:rsid w:val="00FA14B4"/>
    <w:rsid w:val="00FA2335"/>
    <w:rsid w:val="00FA4BF5"/>
    <w:rsid w:val="00FB2486"/>
    <w:rsid w:val="00FB5AB4"/>
    <w:rsid w:val="00FD5044"/>
    <w:rsid w:val="00FE1A83"/>
    <w:rsid w:val="00FF02EB"/>
    <w:rsid w:val="00FF128D"/>
    <w:rsid w:val="00FF3262"/>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docId w15:val="{08762808-7259-4888-8A2B-495016CBCEB6}"/>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4647"/>
    <w:pPr>
      <w:spacing w:after="160" w:line="259" w:lineRule="auto"/>
    </w:pPr>
  </w:style>
  <w:style w:type="paragraph" w:styleId="Heading1">
    <w:name w:val="heading 1"/>
    <w:basedOn w:val="Normal"/>
    <w:next w:val="Normal"/>
    <w:link w:val="Heading1Char"/>
    <w:qFormat/>
    <w:rsid w:val="0068378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qFormat/>
    <w:rsid w:val="00683784"/>
    <w:pPr>
      <w:outlineLvl w:val="1"/>
    </w:pPr>
  </w:style>
  <w:style w:type="paragraph" w:styleId="Heading3">
    <w:name w:val="heading 3"/>
    <w:basedOn w:val="Normal"/>
    <w:next w:val="Normal"/>
    <w:link w:val="Heading3Char"/>
    <w:qFormat/>
    <w:rsid w:val="00683784"/>
    <w:pPr>
      <w:outlineLvl w:val="2"/>
    </w:pPr>
  </w:style>
  <w:style w:type="paragraph" w:styleId="Heading4">
    <w:name w:val="heading 4"/>
    <w:basedOn w:val="Normal"/>
    <w:next w:val="Normal"/>
    <w:link w:val="Heading4Char"/>
    <w:qFormat/>
    <w:rsid w:val="00683784"/>
    <w:pPr>
      <w:outlineLvl w:val="3"/>
    </w:pPr>
  </w:style>
  <w:style w:type="paragraph" w:styleId="Heading5">
    <w:name w:val="heading 5"/>
    <w:basedOn w:val="Normal"/>
    <w:next w:val="Normal"/>
    <w:link w:val="Heading5Char"/>
    <w:qFormat/>
    <w:rsid w:val="00683784"/>
    <w:pPr>
      <w:outlineLvl w:val="4"/>
    </w:pPr>
  </w:style>
  <w:style w:type="paragraph" w:styleId="Heading6">
    <w:name w:val="heading 6"/>
    <w:basedOn w:val="Normal"/>
    <w:next w:val="Normal"/>
    <w:link w:val="Heading6Char"/>
    <w:qFormat/>
    <w:rsid w:val="00683784"/>
    <w:pPr>
      <w:outlineLvl w:val="5"/>
    </w:pPr>
  </w:style>
  <w:style w:type="paragraph" w:styleId="Heading7">
    <w:name w:val="heading 7"/>
    <w:basedOn w:val="Normal"/>
    <w:next w:val="Normal"/>
    <w:link w:val="Heading7Char"/>
    <w:qFormat/>
    <w:rsid w:val="00683784"/>
    <w:pPr>
      <w:outlineLvl w:val="6"/>
    </w:pPr>
  </w:style>
  <w:style w:type="paragraph" w:styleId="Heading8">
    <w:name w:val="heading 8"/>
    <w:basedOn w:val="Normal"/>
    <w:next w:val="Normal"/>
    <w:link w:val="Heading8Char"/>
    <w:qFormat/>
    <w:rsid w:val="00683784"/>
    <w:pPr>
      <w:outlineLvl w:val="7"/>
    </w:pPr>
  </w:style>
  <w:style w:type="paragraph" w:styleId="Heading9">
    <w:name w:val="heading 9"/>
    <w:basedOn w:val="Normal"/>
    <w:next w:val="Normal"/>
    <w:link w:val="Heading9Char"/>
    <w:qFormat/>
    <w:rsid w:val="0068378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285A"/>
    <w:pPr>
      <w:spacing w:after="200" w:line="276" w:lineRule="auto"/>
      <w:ind w:left="720"/>
      <w:contextualSpacing/>
    </w:pPr>
    <w:rPr>
      <w:rFonts w:ascii="Calibri" w:hAnsi="Calibri"/>
    </w:rPr>
  </w:style>
  <w:style w:type="paragraph" w:styleId="FootnoteText">
    <w:name w:val="footnote text"/>
    <w:basedOn w:val="Normal"/>
    <w:link w:val="FootnoteTextChar"/>
    <w:unhideWhenUsed/>
    <w:qFormat/>
    <w:rsid w:val="00683784"/>
    <w:pPr>
      <w:spacing w:line="240" w:lineRule="auto"/>
    </w:pPr>
    <w:rPr>
      <w:sz w:val="20"/>
      <w:szCs w:val="20"/>
    </w:rPr>
  </w:style>
  <w:style w:type="character" w:customStyle="1" w:styleId="FootnoteTextChar">
    <w:name w:val="Footnote Text Char"/>
    <w:basedOn w:val="DefaultParagraphFont"/>
    <w:link w:val="FootnoteText"/>
    <w:rsid w:val="007E71D2"/>
    <w:rPr>
      <w:sz w:val="20"/>
      <w:szCs w:val="20"/>
      <w:lang w:val="es-ES"/>
    </w:rPr>
  </w:style>
  <w:style w:type="character" w:styleId="FootnoteReference">
    <w:name w:val="footnote reference"/>
    <w:basedOn w:val="DefaultParagraphFont"/>
    <w:unhideWhenUsed/>
    <w:qFormat/>
    <w:rsid w:val="00683784"/>
    <w:rPr>
      <w:vertAlign w:val="superscript"/>
    </w:rPr>
  </w:style>
  <w:style w:type="character" w:styleId="CommentReference">
    <w:name w:val="annotation reference"/>
    <w:basedOn w:val="DefaultParagraphFont"/>
    <w:uiPriority w:val="99"/>
    <w:semiHidden/>
    <w:unhideWhenUsed/>
    <w:rsid w:val="007A4C60"/>
    <w:rPr>
      <w:sz w:val="16"/>
      <w:szCs w:val="16"/>
    </w:rPr>
  </w:style>
  <w:style w:type="paragraph" w:styleId="CommentText">
    <w:name w:val="annotation text"/>
    <w:basedOn w:val="Normal"/>
    <w:link w:val="CommentTextChar"/>
    <w:semiHidden/>
    <w:unhideWhenUsed/>
    <w:rsid w:val="007A4C60"/>
    <w:pPr>
      <w:spacing w:line="240" w:lineRule="auto"/>
    </w:pPr>
    <w:rPr>
      <w:sz w:val="20"/>
      <w:szCs w:val="20"/>
    </w:rPr>
  </w:style>
  <w:style w:type="character" w:customStyle="1" w:styleId="CommentTextChar">
    <w:name w:val="Comment Text Char"/>
    <w:basedOn w:val="DefaultParagraphFont"/>
    <w:link w:val="CommentText"/>
    <w:semiHidden/>
    <w:rsid w:val="007A4C60"/>
    <w:rPr>
      <w:rFonts w:ascii="Times New Roman" w:eastAsia="Times New Roman" w:hAnsi="Times New Roman" w:cs="Times New Roman"/>
      <w:sz w:val="20"/>
      <w:szCs w:val="20"/>
      <w:lang w:val="es-ES"/>
    </w:rPr>
  </w:style>
  <w:style w:type="paragraph" w:styleId="CommentSubject">
    <w:name w:val="annotation subject"/>
    <w:basedOn w:val="CommentText"/>
    <w:next w:val="CommentText"/>
    <w:link w:val="CommentSubjectChar"/>
    <w:uiPriority w:val="99"/>
    <w:semiHidden/>
    <w:unhideWhenUsed/>
    <w:rsid w:val="007A4C60"/>
    <w:rPr>
      <w:b/>
      <w:bCs/>
    </w:rPr>
  </w:style>
  <w:style w:type="character" w:customStyle="1" w:styleId="CommentSubjectChar">
    <w:name w:val="Comment Subject Char"/>
    <w:basedOn w:val="CommentTextChar"/>
    <w:link w:val="CommentSubject"/>
    <w:uiPriority w:val="99"/>
    <w:semiHidden/>
    <w:rsid w:val="007A4C60"/>
    <w:rPr>
      <w:rFonts w:ascii="Times New Roman" w:eastAsia="Times New Roman" w:hAnsi="Times New Roman" w:cs="Times New Roman"/>
      <w:b/>
      <w:bCs/>
      <w:sz w:val="20"/>
      <w:szCs w:val="20"/>
      <w:lang w:val="es-ES"/>
    </w:rPr>
  </w:style>
  <w:style w:type="paragraph" w:styleId="Revision">
    <w:name w:val="Revision"/>
    <w:hidden/>
    <w:uiPriority w:val="99"/>
    <w:semiHidden/>
    <w:rsid w:val="007A4C60"/>
    <w:pPr>
      <w:spacing w:after="0" w:line="240" w:lineRule="auto"/>
    </w:pPr>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7A4C6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4C60"/>
    <w:rPr>
      <w:rFonts w:ascii="Tahoma" w:eastAsia="Times New Roman" w:hAnsi="Tahoma" w:cs="Tahoma"/>
      <w:sz w:val="16"/>
      <w:szCs w:val="16"/>
      <w:lang w:val="es-ES"/>
    </w:rPr>
  </w:style>
  <w:style w:type="character" w:customStyle="1" w:styleId="normaltextrun">
    <w:name w:val="normaltextrun"/>
    <w:basedOn w:val="DefaultParagraphFont"/>
    <w:rsid w:val="00F12A32"/>
  </w:style>
  <w:style w:type="character" w:customStyle="1" w:styleId="eop">
    <w:name w:val="eop"/>
    <w:basedOn w:val="DefaultParagraphFont"/>
    <w:rsid w:val="00F12A32"/>
  </w:style>
  <w:style w:type="character" w:customStyle="1" w:styleId="spellingerror">
    <w:name w:val="spellingerror"/>
    <w:basedOn w:val="DefaultParagraphFont"/>
    <w:rsid w:val="00CC0748"/>
  </w:style>
  <w:style w:type="paragraph" w:styleId="Header">
    <w:name w:val="header"/>
    <w:basedOn w:val="Normal"/>
    <w:link w:val="HeaderChar"/>
    <w:unhideWhenUsed/>
    <w:qFormat/>
    <w:rsid w:val="00683784"/>
    <w:pPr>
      <w:tabs>
        <w:tab w:val="center" w:pos="4153"/>
        <w:tab w:val="right" w:pos="8306"/>
      </w:tabs>
      <w:spacing w:line="240" w:lineRule="auto"/>
    </w:pPr>
  </w:style>
  <w:style w:type="character" w:customStyle="1" w:styleId="HeaderChar">
    <w:name w:val="Header Char"/>
    <w:basedOn w:val="DefaultParagraphFont"/>
    <w:link w:val="Header"/>
    <w:rsid w:val="00EB1C0F"/>
    <w:rPr>
      <w:lang w:val="es-ES"/>
    </w:rPr>
  </w:style>
  <w:style w:type="paragraph" w:styleId="Footer">
    <w:name w:val="footer"/>
    <w:basedOn w:val="Normal"/>
    <w:link w:val="FooterChar"/>
    <w:unhideWhenUsed/>
    <w:qFormat/>
    <w:rsid w:val="00683784"/>
    <w:pPr>
      <w:tabs>
        <w:tab w:val="center" w:pos="4153"/>
        <w:tab w:val="right" w:pos="8306"/>
      </w:tabs>
      <w:spacing w:line="240" w:lineRule="auto"/>
    </w:pPr>
  </w:style>
  <w:style w:type="character" w:customStyle="1" w:styleId="FooterChar">
    <w:name w:val="Footer Char"/>
    <w:basedOn w:val="DefaultParagraphFont"/>
    <w:link w:val="Footer"/>
    <w:rsid w:val="00EB1C0F"/>
    <w:rPr>
      <w:lang w:val="es-ES"/>
    </w:rPr>
  </w:style>
  <w:style w:type="character" w:customStyle="1" w:styleId="Heading1Char">
    <w:name w:val="Heading 1 Char"/>
    <w:basedOn w:val="DefaultParagraphFont"/>
    <w:link w:val="Heading1"/>
    <w:rsid w:val="00CE5349"/>
    <w:rPr>
      <w:rFonts w:asciiTheme="majorHAnsi" w:eastAsiaTheme="majorEastAsia" w:hAnsiTheme="majorHAnsi" w:cstheme="majorBidi"/>
      <w:color w:val="365F91" w:themeColor="accent1" w:themeShade="BF"/>
      <w:sz w:val="32"/>
      <w:szCs w:val="32"/>
      <w:lang w:val="es-ES"/>
    </w:rPr>
  </w:style>
  <w:style w:type="paragraph" w:styleId="Subtitle">
    <w:name w:val="Subtitle"/>
    <w:basedOn w:val="Normal"/>
    <w:next w:val="Normal"/>
    <w:link w:val="SubtitleChar"/>
    <w:uiPriority w:val="11"/>
    <w:qFormat/>
    <w:rsid w:val="005B2DC3"/>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5B2DC3"/>
    <w:rPr>
      <w:rFonts w:eastAsiaTheme="minorEastAsia"/>
      <w:color w:val="5A5A5A" w:themeColor="text1" w:themeTint="A5"/>
      <w:spacing w:val="15"/>
      <w:lang w:val="es-ES"/>
    </w:rPr>
  </w:style>
  <w:style w:type="character" w:styleId="Hyperlink">
    <w:name w:val="Hyperlink"/>
    <w:basedOn w:val="DefaultParagraphFont"/>
    <w:uiPriority w:val="99"/>
    <w:unhideWhenUsed/>
    <w:rsid w:val="00014E6A"/>
    <w:rPr>
      <w:color w:val="0000FF"/>
      <w:u w:val="single"/>
    </w:rPr>
  </w:style>
  <w:style w:type="character" w:customStyle="1" w:styleId="Heading2Char">
    <w:name w:val="Heading 2 Char"/>
    <w:basedOn w:val="DefaultParagraphFont"/>
    <w:link w:val="Heading2"/>
    <w:rsid w:val="00A31CB4"/>
    <w:rPr>
      <w:lang w:val="es-ES"/>
    </w:rPr>
  </w:style>
  <w:style w:type="character" w:customStyle="1" w:styleId="Heading3Char">
    <w:name w:val="Heading 3 Char"/>
    <w:basedOn w:val="DefaultParagraphFont"/>
    <w:link w:val="Heading3"/>
    <w:rsid w:val="00A31CB4"/>
    <w:rPr>
      <w:lang w:val="es-ES"/>
    </w:rPr>
  </w:style>
  <w:style w:type="character" w:customStyle="1" w:styleId="Heading4Char">
    <w:name w:val="Heading 4 Char"/>
    <w:basedOn w:val="DefaultParagraphFont"/>
    <w:link w:val="Heading4"/>
    <w:rsid w:val="00A31CB4"/>
    <w:rPr>
      <w:lang w:val="es-ES"/>
    </w:rPr>
  </w:style>
  <w:style w:type="character" w:customStyle="1" w:styleId="Heading5Char">
    <w:name w:val="Heading 5 Char"/>
    <w:basedOn w:val="DefaultParagraphFont"/>
    <w:link w:val="Heading5"/>
    <w:rsid w:val="00A31CB4"/>
    <w:rPr>
      <w:lang w:val="es-ES"/>
    </w:rPr>
  </w:style>
  <w:style w:type="character" w:customStyle="1" w:styleId="Heading6Char">
    <w:name w:val="Heading 6 Char"/>
    <w:basedOn w:val="DefaultParagraphFont"/>
    <w:link w:val="Heading6"/>
    <w:rsid w:val="00A31CB4"/>
    <w:rPr>
      <w:lang w:val="es-ES"/>
    </w:rPr>
  </w:style>
  <w:style w:type="character" w:customStyle="1" w:styleId="Heading7Char">
    <w:name w:val="Heading 7 Char"/>
    <w:basedOn w:val="DefaultParagraphFont"/>
    <w:link w:val="Heading7"/>
    <w:rsid w:val="00A31CB4"/>
    <w:rPr>
      <w:lang w:val="es-ES"/>
    </w:rPr>
  </w:style>
  <w:style w:type="character" w:customStyle="1" w:styleId="Heading8Char">
    <w:name w:val="Heading 8 Char"/>
    <w:basedOn w:val="DefaultParagraphFont"/>
    <w:link w:val="Heading8"/>
    <w:rsid w:val="00A31CB4"/>
    <w:rPr>
      <w:lang w:val="es-ES"/>
    </w:rPr>
  </w:style>
  <w:style w:type="character" w:customStyle="1" w:styleId="Heading9Char">
    <w:name w:val="Heading 9 Char"/>
    <w:basedOn w:val="DefaultParagraphFont"/>
    <w:link w:val="Heading9"/>
    <w:rsid w:val="00A31CB4"/>
    <w:rPr>
      <w:lang w:val="es-ES"/>
    </w:rPr>
  </w:style>
  <w:style w:type="paragraph" w:customStyle="1" w:styleId="quotes">
    <w:name w:val="quotes"/>
    <w:basedOn w:val="Normal"/>
    <w:next w:val="Normal"/>
    <w:rsid w:val="00A31CB4"/>
    <w:pPr>
      <w:ind w:left="720"/>
    </w:pPr>
    <w:rPr>
      <w:i/>
    </w:rPr>
  </w:style>
  <w:style w:type="character" w:styleId="FollowedHyperlink">
    <w:name w:val="FollowedHyperlink"/>
    <w:basedOn w:val="DefaultParagraphFont"/>
    <w:uiPriority w:val="99"/>
    <w:semiHidden/>
    <w:unhideWhenUsed/>
    <w:rsid w:val="00987EA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6276366">
      <w:bodyDiv w:val="1"/>
      <w:marLeft w:val="0"/>
      <w:marRight w:val="0"/>
      <w:marTop w:val="0"/>
      <w:marBottom w:val="0"/>
      <w:divBdr>
        <w:top w:val="none" w:sz="0" w:space="0" w:color="auto"/>
        <w:left w:val="none" w:sz="0" w:space="0" w:color="auto"/>
        <w:bottom w:val="none" w:sz="0" w:space="0" w:color="auto"/>
        <w:right w:val="none" w:sz="0" w:space="0" w:color="auto"/>
      </w:divBdr>
    </w:div>
    <w:div w:id="725101770">
      <w:bodyDiv w:val="1"/>
      <w:marLeft w:val="0"/>
      <w:marRight w:val="0"/>
      <w:marTop w:val="0"/>
      <w:marBottom w:val="0"/>
      <w:divBdr>
        <w:top w:val="none" w:sz="0" w:space="0" w:color="auto"/>
        <w:left w:val="none" w:sz="0" w:space="0" w:color="auto"/>
        <w:bottom w:val="none" w:sz="0" w:space="0" w:color="auto"/>
        <w:right w:val="none" w:sz="0" w:space="0" w:color="auto"/>
      </w:divBdr>
    </w:div>
    <w:div w:id="737484501">
      <w:bodyDiv w:val="1"/>
      <w:marLeft w:val="0"/>
      <w:marRight w:val="0"/>
      <w:marTop w:val="0"/>
      <w:marBottom w:val="0"/>
      <w:divBdr>
        <w:top w:val="none" w:sz="0" w:space="0" w:color="auto"/>
        <w:left w:val="none" w:sz="0" w:space="0" w:color="auto"/>
        <w:bottom w:val="none" w:sz="0" w:space="0" w:color="auto"/>
        <w:right w:val="none" w:sz="0" w:space="0" w:color="auto"/>
      </w:divBdr>
    </w:div>
    <w:div w:id="757168760">
      <w:bodyDiv w:val="1"/>
      <w:marLeft w:val="0"/>
      <w:marRight w:val="0"/>
      <w:marTop w:val="0"/>
      <w:marBottom w:val="0"/>
      <w:divBdr>
        <w:top w:val="none" w:sz="0" w:space="0" w:color="auto"/>
        <w:left w:val="none" w:sz="0" w:space="0" w:color="auto"/>
        <w:bottom w:val="none" w:sz="0" w:space="0" w:color="auto"/>
        <w:right w:val="none" w:sz="0" w:space="0" w:color="auto"/>
      </w:divBdr>
    </w:div>
    <w:div w:id="966155248">
      <w:bodyDiv w:val="1"/>
      <w:marLeft w:val="0"/>
      <w:marRight w:val="0"/>
      <w:marTop w:val="0"/>
      <w:marBottom w:val="0"/>
      <w:divBdr>
        <w:top w:val="none" w:sz="0" w:space="0" w:color="auto"/>
        <w:left w:val="none" w:sz="0" w:space="0" w:color="auto"/>
        <w:bottom w:val="none" w:sz="0" w:space="0" w:color="auto"/>
        <w:right w:val="none" w:sz="0" w:space="0" w:color="auto"/>
      </w:divBdr>
    </w:div>
    <w:div w:id="977221858">
      <w:bodyDiv w:val="1"/>
      <w:marLeft w:val="0"/>
      <w:marRight w:val="0"/>
      <w:marTop w:val="0"/>
      <w:marBottom w:val="0"/>
      <w:divBdr>
        <w:top w:val="none" w:sz="0" w:space="0" w:color="auto"/>
        <w:left w:val="none" w:sz="0" w:space="0" w:color="auto"/>
        <w:bottom w:val="none" w:sz="0" w:space="0" w:color="auto"/>
        <w:right w:val="none" w:sz="0" w:space="0" w:color="auto"/>
      </w:divBdr>
    </w:div>
    <w:div w:id="1207140338">
      <w:bodyDiv w:val="1"/>
      <w:marLeft w:val="0"/>
      <w:marRight w:val="0"/>
      <w:marTop w:val="0"/>
      <w:marBottom w:val="0"/>
      <w:divBdr>
        <w:top w:val="none" w:sz="0" w:space="0" w:color="auto"/>
        <w:left w:val="none" w:sz="0" w:space="0" w:color="auto"/>
        <w:bottom w:val="none" w:sz="0" w:space="0" w:color="auto"/>
        <w:right w:val="none" w:sz="0" w:space="0" w:color="auto"/>
      </w:divBdr>
    </w:div>
    <w:div w:id="1289623022">
      <w:bodyDiv w:val="1"/>
      <w:marLeft w:val="0"/>
      <w:marRight w:val="0"/>
      <w:marTop w:val="0"/>
      <w:marBottom w:val="0"/>
      <w:divBdr>
        <w:top w:val="none" w:sz="0" w:space="0" w:color="auto"/>
        <w:left w:val="none" w:sz="0" w:space="0" w:color="auto"/>
        <w:bottom w:val="none" w:sz="0" w:space="0" w:color="auto"/>
        <w:right w:val="none" w:sz="0" w:space="0" w:color="auto"/>
      </w:divBdr>
    </w:div>
    <w:div w:id="1420254963">
      <w:bodyDiv w:val="1"/>
      <w:marLeft w:val="0"/>
      <w:marRight w:val="0"/>
      <w:marTop w:val="0"/>
      <w:marBottom w:val="0"/>
      <w:divBdr>
        <w:top w:val="none" w:sz="0" w:space="0" w:color="auto"/>
        <w:left w:val="none" w:sz="0" w:space="0" w:color="auto"/>
        <w:bottom w:val="none" w:sz="0" w:space="0" w:color="auto"/>
        <w:right w:val="none" w:sz="0" w:space="0" w:color="auto"/>
      </w:divBdr>
    </w:div>
    <w:div w:id="1757707581">
      <w:bodyDiv w:val="1"/>
      <w:marLeft w:val="0"/>
      <w:marRight w:val="0"/>
      <w:marTop w:val="0"/>
      <w:marBottom w:val="0"/>
      <w:divBdr>
        <w:top w:val="none" w:sz="0" w:space="0" w:color="auto"/>
        <w:left w:val="none" w:sz="0" w:space="0" w:color="auto"/>
        <w:bottom w:val="none" w:sz="0" w:space="0" w:color="auto"/>
        <w:right w:val="none" w:sz="0" w:space="0" w:color="auto"/>
      </w:divBdr>
    </w:div>
    <w:div w:id="1924946861">
      <w:bodyDiv w:val="1"/>
      <w:marLeft w:val="0"/>
      <w:marRight w:val="0"/>
      <w:marTop w:val="0"/>
      <w:marBottom w:val="0"/>
      <w:divBdr>
        <w:top w:val="none" w:sz="0" w:space="0" w:color="auto"/>
        <w:left w:val="none" w:sz="0" w:space="0" w:color="auto"/>
        <w:bottom w:val="none" w:sz="0" w:space="0" w:color="auto"/>
        <w:right w:val="none" w:sz="0" w:space="0" w:color="auto"/>
      </w:divBdr>
    </w:div>
    <w:div w:id="2066681319">
      <w:bodyDiv w:val="1"/>
      <w:marLeft w:val="0"/>
      <w:marRight w:val="0"/>
      <w:marTop w:val="0"/>
      <w:marBottom w:val="0"/>
      <w:divBdr>
        <w:top w:val="none" w:sz="0" w:space="0" w:color="auto"/>
        <w:left w:val="none" w:sz="0" w:space="0" w:color="auto"/>
        <w:bottom w:val="none" w:sz="0" w:space="0" w:color="auto"/>
        <w:right w:val="none" w:sz="0" w:space="0" w:color="auto"/>
      </w:divBdr>
    </w:div>
    <w:div w:id="2118257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theme" Target="theme/theme1.xml"/><Relationship Id="rId26" Type="http://schemas.openxmlformats.org/officeDocument/2006/relationships/customXml" Target="../customXml/item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5" Type="http://schemas.microsoft.com/office/2016/09/relationships/commentsIds" Target="commentsIds.xml"/><Relationship Id="rId16" Type="http://schemas.openxmlformats.org/officeDocument/2006/relationships/footer" Target="footer1.xml"/><Relationship Id="rId29" Type="http://schemas.openxmlformats.org/officeDocument/2006/relationships/customXml" Target="../customXml/item4.xml"/><Relationship Id="rId6" Type="http://schemas.openxmlformats.org/officeDocument/2006/relationships/numbering" Target="numbering.xml"/><Relationship Id="rId11" Type="http://schemas.openxmlformats.org/officeDocument/2006/relationships/endnotes" Target="endnotes.xml"/><Relationship Id="rId24" Type="http://schemas.microsoft.com/office/2018/08/relationships/commentsExtensible" Target="commentsExtensible.xml"/><Relationship Id="rId15" Type="http://schemas.openxmlformats.org/officeDocument/2006/relationships/hyperlink" Target="https://s3platform.jrc.ec.europa.eu/social-economy" TargetMode="External"/><Relationship Id="rId28" Type="http://schemas.openxmlformats.org/officeDocument/2006/relationships/customXml" Target="../customXml/item3.xml"/><Relationship Id="rId10" Type="http://schemas.openxmlformats.org/officeDocument/2006/relationships/footnotes" Target="footnotes.xml"/><Relationship Id="rId9" Type="http://schemas.openxmlformats.org/officeDocument/2006/relationships/webSettings" Target="webSettings.xml"/><Relationship Id="rId14" Type="http://schemas.openxmlformats.org/officeDocument/2006/relationships/hyperlink" Target="https://www.europeanjobdays.eu/es" TargetMode="External"/><Relationship Id="rId27"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xUriServ/LexUriServ.do?uri=OJ:C:2012:102:0006:0010:ES:PDF" TargetMode="External"/><Relationship Id="rId1" Type="http://schemas.openxmlformats.org/officeDocument/2006/relationships/hyperlink" Target="https://ec.europa.eu/commission/sites/beta-political/files/reflection-paper-social-dimension-europe_es.pdf"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165174FC8F090445A2AE79FCF6D9A29A" ma:contentTypeVersion="4" ma:contentTypeDescription="Defines the documents for Document Manager V2" ma:contentTypeScope="" ma:versionID="5f550e2ccfd382aa7d324e5e6bf397fc">
  <xsd:schema xmlns:xsd="http://www.w3.org/2001/XMLSchema" xmlns:xs="http://www.w3.org/2001/XMLSchema" xmlns:p="http://schemas.microsoft.com/office/2006/metadata/properties" xmlns:ns2="0b452354-65a4-4dd6-8824-e6b830247e3e" xmlns:ns3="http://schemas.microsoft.com/sharepoint/v3/fields" xmlns:ns4="4bbe3f12-7728-4332-8165-6531ead52725" targetNamespace="http://schemas.microsoft.com/office/2006/metadata/properties" ma:root="true" ma:fieldsID="2df0637bd43955c3f2ab31acff7308e7" ns2:_="" ns3:_="" ns4:_="">
    <xsd:import namespace="0b452354-65a4-4dd6-8824-e6b830247e3e"/>
    <xsd:import namespace="http://schemas.microsoft.com/sharepoint/v3/fields"/>
    <xsd:import namespace="4bbe3f12-7728-4332-8165-6531ead52725"/>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452354-65a4-4dd6-8824-e6b830247e3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2372cf09-4e2b-4dd9-bbd8-042ba4cc2786}" ma:internalName="TaxCatchAll" ma:showField="CatchAllData"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2372cf09-4e2b-4dd9-bbd8-042ba4cc2786}" ma:internalName="TaxCatchAllLabel" ma:readOnly="true" ma:showField="CatchAllDataLabel"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bbe3f12-7728-4332-8165-6531ead52725"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0b452354-65a4-4dd6-8824-e6b830247e3e">3T5AXJEHYTWU-1246943346-5718</_dlc_DocId>
    <_dlc_DocIdUrl xmlns="0b452354-65a4-4dd6-8824-e6b830247e3e">
      <Url>http://dm2016/cor/2020/_layouts/15/DocIdRedir.aspx?ID=3T5AXJEHYTWU-1246943346-5718</Url>
      <Description>3T5AXJEHYTWU-1246943346-5718</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TCD</TermName>
          <TermId xmlns="http://schemas.microsoft.com/office/infopath/2007/PartnerControls">cd9d6eb6-3f4f-424a-b2d1-57c9d450eaaf</TermId>
        </TermInfo>
      </Terms>
    </DocumentType_0>
    <Procedure xmlns="0b452354-65a4-4dd6-8824-e6b830247e3e"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CoR</TermName>
          <TermId xmlns="http://schemas.microsoft.com/office/infopath/2007/PartnerControls">cb2d75ef-4a7d-4393-b797-49ed6298a5ea</TermId>
        </TermInfo>
      </Terms>
    </DocumentSource_0>
    <ProductionDate xmlns="0b452354-65a4-4dd6-8824-e6b830247e3e">2020-11-24T12:00:00+00:00</ProductionDate>
    <FicheYear xmlns="0b452354-65a4-4dd6-8824-e6b830247e3e">2020</FicheYear>
    <DocumentNumber xmlns="4bbe3f12-7728-4332-8165-6531ead52725">4835</DocumentNumber>
    <DocumentVersion xmlns="0b452354-65a4-4dd6-8824-e6b830247e3e">1</DocumentVersion>
    <DossierNumber xmlns="0b452354-65a4-4dd6-8824-e6b830247e3e"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0b452354-65a4-4dd6-8824-e6b830247e3e">2020-11-25T12:00:00+00:00</MeetingDate>
    <TaxCatchAll xmlns="0b452354-65a4-4dd6-8824-e6b830247e3e">
      <Value>50</Value>
      <Value>38</Value>
      <Value>37</Value>
      <Value>36</Value>
      <Value>35</Value>
      <Value>34</Value>
      <Value>31</Value>
      <Value>30</Value>
      <Value>29</Value>
      <Value>27</Value>
      <Value>26</Value>
      <Value>25</Value>
      <Value>23</Value>
      <Value>22</Value>
      <Value>19</Value>
      <Value>18</Value>
      <Value>17</Value>
      <Value>16</Value>
      <Value>15</Value>
      <Value>14</Value>
      <Value>13</Value>
      <Value>12</Value>
      <Value>11</Value>
      <Value>8</Value>
      <Value>7</Value>
      <Value>6</Value>
      <Value>5</Value>
      <Value>4</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ES</TermName>
          <TermId xmlns="http://schemas.microsoft.com/office/infopath/2007/PartnerControls">e7a6b05b-ae16-40c8-add9-68b64b03aeba</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0b452354-65a4-4dd6-8824-e6b830247e3e" xsi:nil="true"/>
    <DocumentYear xmlns="0b452354-65a4-4dd6-8824-e6b830247e3e">2020</DocumentYear>
    <FicheNumber xmlns="0b452354-65a4-4dd6-8824-e6b830247e3e">12567</FicheNumber>
    <DocumentPart xmlns="0b452354-65a4-4dd6-8824-e6b830247e3e">0</DocumentPart>
    <AdoptionDate xmlns="0b452354-65a4-4dd6-8824-e6b830247e3e" xsi:nil="true"/>
    <RequestingService xmlns="0b452354-65a4-4dd6-8824-e6b830247e3e">Commission SEDEC</RequestingService>
    <MeetingName_0 xmlns="http://schemas.microsoft.com/sharepoint/v3/fields">
      <Terms xmlns="http://schemas.microsoft.com/office/infopath/2007/PartnerControls">
        <TermInfo xmlns="http://schemas.microsoft.com/office/infopath/2007/PartnerControls">
          <TermName xmlns="http://schemas.microsoft.com/office/infopath/2007/PartnerControls">SEDEC-VII</TermName>
          <TermId xmlns="http://schemas.microsoft.com/office/infopath/2007/PartnerControls">2234d809-5ab4-4b5b-84d4-8dd3531523c3</TermId>
        </TermInfo>
      </Term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4bbe3f12-7728-4332-8165-6531ead52725">5</MeetingNumber>
    <DossierName_0 xmlns="http://schemas.microsoft.com/sharepoint/v3/fields">
      <Terms xmlns="http://schemas.microsoft.com/office/infopath/2007/PartnerControls"/>
    </DossierName_0>
  </documentManagement>
</p:properties>
</file>

<file path=customXml/itemProps1.xml><?xml version="1.0" encoding="utf-8"?>
<ds:datastoreItem xmlns:ds="http://schemas.openxmlformats.org/officeDocument/2006/customXml" ds:itemID="{617C0D12-76A1-48AE-B203-517C0B83EDD7}"/>
</file>

<file path=customXml/itemProps2.xml><?xml version="1.0" encoding="utf-8"?>
<ds:datastoreItem xmlns:ds="http://schemas.openxmlformats.org/officeDocument/2006/customXml" ds:itemID="{FCE33E0C-AE93-4366-9E75-7D61ECCCEB2C}"/>
</file>

<file path=customXml/itemProps3.xml><?xml version="1.0" encoding="utf-8"?>
<ds:datastoreItem xmlns:ds="http://schemas.openxmlformats.org/officeDocument/2006/customXml" ds:itemID="{50C7951D-C2DB-445B-ACF8-41D2F6034C83}"/>
</file>

<file path=customXml/itemProps4.xml><?xml version="1.0" encoding="utf-8"?>
<ds:datastoreItem xmlns:ds="http://schemas.openxmlformats.org/officeDocument/2006/customXml" ds:itemID="{AE3CFE44-2CAE-4641-81E7-6E3D76B2B118}"/>
</file>

<file path=docProps/app.xml><?xml version="1.0" encoding="utf-8"?>
<Properties xmlns="http://schemas.openxmlformats.org/officeDocument/2006/extended-properties" xmlns:vt="http://schemas.openxmlformats.org/officeDocument/2006/docPropsVTypes">
  <Template>Styles</Template>
  <TotalTime>60</TotalTime>
  <Pages>9</Pages>
  <Words>2933</Words>
  <Characters>16720</Characters>
  <Application>Microsoft Office Word</Application>
  <DocSecurity>0</DocSecurity>
  <Lines>139</Lines>
  <Paragraphs>39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EESC-ECOR</Company>
  <LinksUpToDate>false</LinksUpToDate>
  <CharactersWithSpaces>19614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CDR - DG EMPL documento conjunto: Ámbitos de cooperación reforzada</dc:title>
  <dc:subject>Trabajos consultivos/varios</dc:subject>
  <dc:creator>Thomas Wobben</dc:creator>
  <cp:keywords>COR-2020-04835-00-01-TCD-TRA-EN</cp:keywords>
  <dc:description>Rapporteur:  - Original language: EN - Date of document: 24/11/2020 - Date of meeting: 25/11/2020 - External documents:  - Administrator:  PETRAS Georgios</dc:description>
  <cp:lastModifiedBy>Garcia Rodriguez Beatriz</cp:lastModifiedBy>
  <cp:revision>8</cp:revision>
  <cp:lastPrinted>2020-10-07T12:59:00Z</cp:lastPrinted>
  <dcterms:created xsi:type="dcterms:W3CDTF">2020-11-17T16:19:00Z</dcterms:created>
  <dcterms:modified xsi:type="dcterms:W3CDTF">2020-11-24T08:31:00Z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17/11/2020, 17/11/2020, 03/11/2020</vt:lpwstr>
  </property>
  <property fmtid="{D5CDD505-2E9C-101B-9397-08002B2CF9AE}" pid="4" name="Pref_Time">
    <vt:lpwstr>17:11:11, 17:01:01, 11:51:23</vt:lpwstr>
  </property>
  <property fmtid="{D5CDD505-2E9C-101B-9397-08002B2CF9AE}" pid="5" name="Pref_User">
    <vt:lpwstr>enied, ssex, amett</vt:lpwstr>
  </property>
  <property fmtid="{D5CDD505-2E9C-101B-9397-08002B2CF9AE}" pid="6" name="Pref_FileName">
    <vt:lpwstr>COR-2020-04835-00-01-TCD-TRA-EN-CRR.docx, COR-2020-04835-00-01-TCD-CRR-EN.docx, COR-2020-04835-00-00-TCD-TRA-EN-CRR.docx</vt:lpwstr>
  </property>
  <property fmtid="{D5CDD505-2E9C-101B-9397-08002B2CF9AE}" pid="7" name="ContentTypeId">
    <vt:lpwstr>0x010100EA97B91038054C99906057A708A1480A00165174FC8F090445A2AE79FCF6D9A29A</vt:lpwstr>
  </property>
  <property fmtid="{D5CDD505-2E9C-101B-9397-08002B2CF9AE}" pid="8" name="_dlc_DocIdItemGuid">
    <vt:lpwstr>9dfdb3e4-ed18-4916-8da6-181cb10bf3af</vt:lpwstr>
  </property>
  <property fmtid="{D5CDD505-2E9C-101B-9397-08002B2CF9AE}" pid="9" name="AvailableTranslations">
    <vt:lpwstr>31;#LV|46f7e311-5d9f-4663-b433-18aeccb7ace7;#4;#FR|d2afafd3-4c81-4f60-8f52-ee33f2f54ff3;#16;#ES|e7a6b05b-ae16-40c8-add9-68b64b03aeba;#36;#FI|87606a43-d45f-42d6-b8c9-e1a3457db5b7;#34;#CS|72f9705b-0217-4fd3-bea2-cbc7ed80e26e;#19;#LT|a7ff5ce7-6123-4f68-865a-a57c31810414;#35;#PT|50ccc04a-eadd-42ae-a0cb-acaf45f812ba;#13;#HR|2f555653-ed1a-4fe6-8362-9082d95989e5;#12;#EL|6d4f4d51-af9b-4650-94b4-4276bee85c91;#38;#RO|feb747a2-64cd-4299-af12-4833ddc30497;#14;#MT|7df99101-6854-4a26-b53a-b88c0da02c26;#18;#NL|55c6556c-b4f4-441d-9acf-c498d4f838bd;#23;#DE|f6b31e5a-26fa-4935-b661-318e46daf27e;#30;#DA|5d49c027-8956-412b-aa16-e85a0f96ad0e;#27;#HU|6b229040-c589-4408-b4c1-4285663d20a8;#26;#SL|98a412ae-eb01-49e9-ae3d-585a81724cfc;#17;#PL|1e03da61-4678-4e07-b136-b5024ca9197b;#37;#BG|1a1b3951-7821-4e6a-85f5-5673fc08bd2c;#29;#SV|c2ed69e7-a339-43d7-8f22-d93680a92aa0;#25;#ET|ff6c3f4c-b02c-4c3c-ab07-2c37995a7a0a;#11;#IT|0774613c-01ed-4e5d-a25d-11d2388de825;#15;#SK|46d9fce0-ef79-4f71-b89b-cd6aa82426b8;#7;#EN|f2175f21-25d7-44a3-96da-d6a61b075e1b</vt:lpwstr>
  </property>
  <property fmtid="{D5CDD505-2E9C-101B-9397-08002B2CF9AE}" pid="10" name="DocumentType_0">
    <vt:lpwstr>TCD|cd9d6eb6-3f4f-424a-b2d1-57c9d450eaaf</vt:lpwstr>
  </property>
  <property fmtid="{D5CDD505-2E9C-101B-9397-08002B2CF9AE}" pid="11" name="MeetingNumber">
    <vt:i4>5</vt:i4>
  </property>
  <property fmtid="{D5CDD505-2E9C-101B-9397-08002B2CF9AE}" pid="12" name="DossierName_0">
    <vt:lpwstr/>
  </property>
  <property fmtid="{D5CDD505-2E9C-101B-9397-08002B2CF9AE}" pid="13" name="DocumentSource_0">
    <vt:lpwstr>CoR|cb2d75ef-4a7d-4393-b797-49ed6298a5ea</vt:lpwstr>
  </property>
  <property fmtid="{D5CDD505-2E9C-101B-9397-08002B2CF9AE}" pid="14" name="DocumentNumber">
    <vt:i4>4835</vt:i4>
  </property>
  <property fmtid="{D5CDD505-2E9C-101B-9397-08002B2CF9AE}" pid="15" name="FicheYear">
    <vt:i4>2020</vt:i4>
  </property>
  <property fmtid="{D5CDD505-2E9C-101B-9397-08002B2CF9AE}" pid="16" name="DocumentVersion">
    <vt:i4>1</vt:i4>
  </property>
  <property fmtid="{D5CDD505-2E9C-101B-9397-08002B2CF9AE}" pid="17" name="DocumentStatus">
    <vt:lpwstr>8;#TRA|150d2a88-1431-44e6-a8ca-0bb753ab8672</vt:lpwstr>
  </property>
  <property fmtid="{D5CDD505-2E9C-101B-9397-08002B2CF9AE}" pid="18" name="DocumentPart">
    <vt:i4>0</vt:i4>
  </property>
  <property fmtid="{D5CDD505-2E9C-101B-9397-08002B2CF9AE}" pid="19" name="DossierName">
    <vt:lpwstr/>
  </property>
  <property fmtid="{D5CDD505-2E9C-101B-9397-08002B2CF9AE}" pid="20" name="DocumentSource">
    <vt:lpwstr>1;#CoR|cb2d75ef-4a7d-4393-b797-49ed6298a5ea</vt:lpwstr>
  </property>
  <property fmtid="{D5CDD505-2E9C-101B-9397-08002B2CF9AE}" pid="22" name="DocumentType">
    <vt:lpwstr>22;#TCD|cd9d6eb6-3f4f-424a-b2d1-57c9d450eaaf</vt:lpwstr>
  </property>
  <property fmtid="{D5CDD505-2E9C-101B-9397-08002B2CF9AE}" pid="23" name="RequestingService">
    <vt:lpwstr>Commission SEDEC</vt:lpwstr>
  </property>
  <property fmtid="{D5CDD505-2E9C-101B-9397-08002B2CF9AE}" pid="24" name="Confidentiality">
    <vt:lpwstr>5;#Unrestricted|826e22d7-d029-4ec0-a450-0c28ff673572</vt:lpwstr>
  </property>
  <property fmtid="{D5CDD505-2E9C-101B-9397-08002B2CF9AE}" pid="25" name="MeetingName_0">
    <vt:lpwstr>SEDEC-VII|2234d809-5ab4-4b5b-84d4-8dd3531523c3</vt:lpwstr>
  </property>
  <property fmtid="{D5CDD505-2E9C-101B-9397-08002B2CF9AE}" pid="26" name="Confidentiality_0">
    <vt:lpwstr>Unrestricted|826e22d7-d029-4ec0-a450-0c28ff673572</vt:lpwstr>
  </property>
  <property fmtid="{D5CDD505-2E9C-101B-9397-08002B2CF9AE}" pid="27" name="OriginalLanguage">
    <vt:lpwstr>7;#EN|f2175f21-25d7-44a3-96da-d6a61b075e1b</vt:lpwstr>
  </property>
  <property fmtid="{D5CDD505-2E9C-101B-9397-08002B2CF9AE}" pid="28" name="MeetingName">
    <vt:lpwstr>50;#SEDEC-VII|2234d809-5ab4-4b5b-84d4-8dd3531523c3</vt:lpwstr>
  </property>
  <property fmtid="{D5CDD505-2E9C-101B-9397-08002B2CF9AE}" pid="29" name="MeetingDate">
    <vt:filetime>2020-11-25T12:00:00Z</vt:filetime>
  </property>
  <property fmtid="{D5CDD505-2E9C-101B-9397-08002B2CF9AE}" pid="30" name="AvailableTranslations_0">
    <vt:lpwstr>LV|46f7e311-5d9f-4663-b433-18aeccb7ace7;FR|d2afafd3-4c81-4f60-8f52-ee33f2f54ff3;CS|72f9705b-0217-4fd3-bea2-cbc7ed80e26e;LT|a7ff5ce7-6123-4f68-865a-a57c31810414;PT|50ccc04a-eadd-42ae-a0cb-acaf45f812ba;HR|2f555653-ed1a-4fe6-8362-9082d95989e5;RO|feb747a2-64cd-4299-af12-4833ddc30497;MT|7df99101-6854-4a26-b53a-b88c0da02c26;DE|f6b31e5a-26fa-4935-b661-318e46daf27e;DA|5d49c027-8956-412b-aa16-e85a0f96ad0e;SL|98a412ae-eb01-49e9-ae3d-585a81724cfc;PL|1e03da61-4678-4e07-b136-b5024ca9197b;BG|1a1b3951-7821-4e6a-85f5-5673fc08bd2c;SV|c2ed69e7-a339-43d7-8f22-d93680a92aa0;ET|ff6c3f4c-b02c-4c3c-ab07-2c37995a7a0a;IT|0774613c-01ed-4e5d-a25d-11d2388de825;EN|f2175f21-25d7-44a3-96da-d6a61b075e1b</vt:lpwstr>
  </property>
  <property fmtid="{D5CDD505-2E9C-101B-9397-08002B2CF9AE}" pid="31" name="DocumentStatus_0">
    <vt:lpwstr>TRA|150d2a88-1431-44e6-a8ca-0bb753ab8672</vt:lpwstr>
  </property>
  <property fmtid="{D5CDD505-2E9C-101B-9397-08002B2CF9AE}" pid="32" name="OriginalLanguage_0">
    <vt:lpwstr>EN|f2175f21-25d7-44a3-96da-d6a61b075e1b</vt:lpwstr>
  </property>
  <property fmtid="{D5CDD505-2E9C-101B-9397-08002B2CF9AE}" pid="33" name="TaxCatchAll">
    <vt:lpwstr>35;#PT|50ccc04a-eadd-42ae-a0cb-acaf45f812ba;#34;#CS|72f9705b-0217-4fd3-bea2-cbc7ed80e26e;#31;#LV|46f7e311-5d9f-4663-b433-18aeccb7ace7;#30;#DA|5d49c027-8956-412b-aa16-e85a0f96ad0e;#29;#SV|c2ed69e7-a339-43d7-8f22-d93680a92aa0;#26;#SL|98a412ae-eb01-49e9-ae3d-585a81724cfc;#25;#ET|ff6c3f4c-b02c-4c3c-ab07-2c37995a7a0a;#38;#RO|feb747a2-64cd-4299-af12-4833ddc30497;#23;#DE|f6b31e5a-26fa-4935-b661-318e46daf27e;#22;#TCD|cd9d6eb6-3f4f-424a-b2d1-57c9d450eaaf;#19;#LT|a7ff5ce7-6123-4f68-865a-a57c31810414;#17;#PL|1e03da61-4678-4e07-b136-b5024ca9197b;#14;#MT|7df99101-6854-4a26-b53a-b88c0da02c26;#50;#SEDEC-VII|2234d809-5ab4-4b5b-84d4-8dd3531523c3;#13;#HR|2f555653-ed1a-4fe6-8362-9082d95989e5;#11;#IT|0774613c-01ed-4e5d-a25d-11d2388de825;#8;#TRA|150d2a88-1431-44e6-a8ca-0bb753ab8672;#7;#EN|f2175f21-25d7-44a3-96da-d6a61b075e1b;#6;#Final|ea5e6674-7b27-4bac-b091-73adbb394efe;#5;#Unrestricted|826e22d7-d029-4ec0-a450-0c28ff673572;#4;#FR|d2afafd3-4c81-4f60-8f52-ee33f2f54ff3;#1;#CoR|cb2d75ef-4a7d-4393-b797-49ed6298a5ea;#37;#BG|1a1b3951-7821-4e6a-85f5-5673fc08bd2c</vt:lpwstr>
  </property>
  <property fmtid="{D5CDD505-2E9C-101B-9397-08002B2CF9AE}" pid="34" name="VersionStatus_0">
    <vt:lpwstr>Final|ea5e6674-7b27-4bac-b091-73adbb394efe</vt:lpwstr>
  </property>
  <property fmtid="{D5CDD505-2E9C-101B-9397-08002B2CF9AE}" pid="35" name="VersionStatus">
    <vt:lpwstr>6;#Final|ea5e6674-7b27-4bac-b091-73adbb394efe</vt:lpwstr>
  </property>
  <property fmtid="{D5CDD505-2E9C-101B-9397-08002B2CF9AE}" pid="36" name="DocumentYear">
    <vt:i4>2020</vt:i4>
  </property>
  <property fmtid="{D5CDD505-2E9C-101B-9397-08002B2CF9AE}" pid="37" name="FicheNumber">
    <vt:i4>12567</vt:i4>
  </property>
  <property fmtid="{D5CDD505-2E9C-101B-9397-08002B2CF9AE}" pid="38" name="DocumentLanguage">
    <vt:lpwstr>16;#ES|e7a6b05b-ae16-40c8-add9-68b64b03aeba</vt:lpwstr>
  </property>
</Properties>
</file>