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07020E" w:rsidRDefault="0023381A" w:rsidP="0007020E">
      <w:pPr>
        <w:jc w:val="both"/>
        <w:rPr>
          <w:rFonts w:ascii="Times New Roman" w:hAnsi="Times New Roman" w:cs="Times New Roman"/>
          <w:b/>
          <w:sz w:val="36"/>
          <w:szCs w:val="36"/>
          <w:u w:val="single"/>
        </w:rPr>
      </w:pPr>
      <w:r w:rsidRPr="0007020E">
        <w:rPr>
          <w:rFonts w:ascii="Times New Roman" w:hAnsi="Times New Roman" w:cs="Times New Roman"/>
          <w:noProof/>
          <w:lang w:eastAsia="et-EE"/>
        </w:rPr>
        <w:drawing>
          <wp:anchor distT="0" distB="0" distL="114300" distR="114300" simplePos="0" relativeHeight="251656704"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020E">
        <w:rPr>
          <w:rFonts w:ascii="Times New Roman" w:hAnsi="Times New Roman" w:cs="Times New Roman"/>
          <w:noProof/>
          <w:lang w:eastAsia="et-EE"/>
        </w:rPr>
        <w:drawing>
          <wp:inline distT="0" distB="0" distL="0" distR="0" wp14:anchorId="1ACC1283" wp14:editId="1D76655F">
            <wp:extent cx="1008729" cy="873168"/>
            <wp:effectExtent l="0" t="0" r="127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en-quadri_HR letterhea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8729" cy="873168"/>
                    </a:xfrm>
                    <a:prstGeom prst="rect">
                      <a:avLst/>
                    </a:prstGeom>
                  </pic:spPr>
                </pic:pic>
              </a:graphicData>
            </a:graphic>
          </wp:inline>
        </w:drawing>
      </w:r>
    </w:p>
    <w:p w:rsidR="00B87B5D" w:rsidRPr="0007020E" w:rsidRDefault="00C82EBC" w:rsidP="0007020E">
      <w:pPr>
        <w:jc w:val="both"/>
        <w:rPr>
          <w:rFonts w:ascii="Times New Roman" w:hAnsi="Times New Roman" w:cs="Times New Roman"/>
          <w:b/>
          <w:sz w:val="36"/>
          <w:szCs w:val="36"/>
          <w:u w:val="single"/>
        </w:rPr>
      </w:pPr>
      <w:r w:rsidRPr="0007020E">
        <w:rPr>
          <w:rFonts w:ascii="Times New Roman" w:hAnsi="Times New Roman" w:cs="Times New Roman"/>
          <w:b/>
          <w:noProof/>
          <w:sz w:val="20"/>
          <w:szCs w:val="36"/>
          <w:u w:val="single"/>
          <w:lang w:eastAsia="et-EE"/>
        </w:rPr>
        <mc:AlternateContent>
          <mc:Choice Requires="wps">
            <w:drawing>
              <wp:anchor distT="0" distB="0" distL="114300" distR="114300" simplePos="0" relativeHeight="251658752"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ET</w:t>
                      </w:r>
                    </w:p>
                  </w:txbxContent>
                </v:textbox>
                <w10:wrap anchorx="page" anchory="page"/>
              </v:shape>
            </w:pict>
          </mc:Fallback>
        </mc:AlternateContent>
      </w:r>
    </w:p>
    <w:p w:rsidR="0072285A" w:rsidRPr="0007020E" w:rsidRDefault="00C34231" w:rsidP="0007020E">
      <w:pPr>
        <w:jc w:val="center"/>
        <w:rPr>
          <w:rFonts w:ascii="Times New Roman" w:hAnsi="Times New Roman" w:cs="Times New Roman"/>
          <w:b/>
          <w:sz w:val="36"/>
          <w:u w:val="single"/>
        </w:rPr>
      </w:pPr>
      <w:r w:rsidRPr="0007020E">
        <w:rPr>
          <w:rFonts w:ascii="Times New Roman" w:hAnsi="Times New Roman" w:cs="Times New Roman"/>
          <w:b/>
          <w:sz w:val="36"/>
          <w:u w:val="single"/>
        </w:rPr>
        <w:t>Euroopa Regioonide Komitee ning Euroopa Komisjoni tööhõive, sotsiaalküsimuste ja sotsiaalse kaasatuse peadirektoraadi</w:t>
      </w:r>
      <w:r w:rsidRPr="0007020E">
        <w:rPr>
          <w:rFonts w:ascii="Times New Roman" w:hAnsi="Times New Roman" w:cs="Times New Roman"/>
          <w:b/>
          <w:sz w:val="36"/>
          <w:u w:val="single"/>
        </w:rPr>
        <w:br/>
        <w:t>tõhustatud koostöö valdkonnad</w:t>
      </w:r>
    </w:p>
    <w:p w:rsidR="001C24E4" w:rsidRPr="0007020E" w:rsidRDefault="001C24E4" w:rsidP="0007020E">
      <w:pPr>
        <w:jc w:val="both"/>
        <w:rPr>
          <w:rFonts w:ascii="Times New Roman" w:hAnsi="Times New Roman" w:cs="Times New Roman"/>
          <w:b/>
          <w:sz w:val="36"/>
          <w:szCs w:val="36"/>
          <w:u w:val="single"/>
          <w:lang w:val="en-GB"/>
        </w:rPr>
      </w:pPr>
      <w:bookmarkStart w:id="0" w:name="_GoBack"/>
      <w:bookmarkEnd w:id="0"/>
    </w:p>
    <w:p w:rsidR="009521C5" w:rsidRPr="0007020E" w:rsidRDefault="009521C5" w:rsidP="0007020E">
      <w:pPr>
        <w:pStyle w:val="Heading1"/>
        <w:numPr>
          <w:ilvl w:val="0"/>
          <w:numId w:val="22"/>
        </w:numPr>
        <w:ind w:left="567" w:hanging="567"/>
        <w:jc w:val="both"/>
        <w:rPr>
          <w:rFonts w:ascii="Times New Roman" w:hAnsi="Times New Roman" w:cs="Times New Roman"/>
          <w:b/>
          <w:color w:val="auto"/>
          <w:sz w:val="24"/>
        </w:rPr>
      </w:pPr>
      <w:r w:rsidRPr="0007020E">
        <w:rPr>
          <w:rFonts w:ascii="Times New Roman" w:hAnsi="Times New Roman" w:cs="Times New Roman"/>
          <w:b/>
          <w:color w:val="auto"/>
          <w:sz w:val="24"/>
        </w:rPr>
        <w:t>Sissejuhatus</w:t>
      </w:r>
    </w:p>
    <w:p w:rsidR="00014693" w:rsidRPr="0007020E" w:rsidRDefault="00014693" w:rsidP="0007020E">
      <w:pPr>
        <w:jc w:val="both"/>
        <w:rPr>
          <w:rFonts w:ascii="Times New Roman" w:hAnsi="Times New Roman" w:cs="Times New Roman"/>
          <w:sz w:val="24"/>
          <w:szCs w:val="24"/>
          <w:lang w:val="en-GB"/>
        </w:rPr>
      </w:pPr>
    </w:p>
    <w:p w:rsidR="00014E6A" w:rsidRPr="0007020E" w:rsidRDefault="00C82EBC" w:rsidP="0007020E">
      <w:pPr>
        <w:jc w:val="both"/>
        <w:rPr>
          <w:rFonts w:ascii="Times New Roman" w:hAnsi="Times New Roman" w:cs="Times New Roman"/>
          <w:color w:val="000000"/>
        </w:rPr>
      </w:pPr>
      <w:r w:rsidRPr="0007020E">
        <w:rPr>
          <w:rFonts w:ascii="Times New Roman" w:hAnsi="Times New Roman" w:cs="Times New Roman"/>
        </w:rPr>
        <w:t>Juba enne COVID-19 kriisi oli selge, et „sotsiaalne Euroopa“ on ELi demokraatliku, ühtse, kultuuriliselt mitmekesise ning jõuka ühiskonna tagamisse antava panuse seisukohalt väga oluline. See tähendab majanduslikku ja sotsiaalset arengut, diskrimineerimise ja sotsiaalse tõrjutuse vastast võitlust, aga ka seda, et eurooplastel aidatakse kohaneda tööturu vajadustega ja nad saavad elada täisväärtuslikku elu</w:t>
      </w:r>
      <w:r w:rsidR="00014E6A" w:rsidRPr="0007020E">
        <w:rPr>
          <w:rStyle w:val="FootnoteReference"/>
          <w:rFonts w:ascii="Times New Roman" w:hAnsi="Times New Roman" w:cs="Times New Roman"/>
          <w:lang w:val="en-GB"/>
        </w:rPr>
        <w:footnoteReference w:id="2"/>
      </w:r>
      <w:r w:rsidRPr="0007020E">
        <w:rPr>
          <w:rFonts w:ascii="Times New Roman" w:hAnsi="Times New Roman" w:cs="Times New Roman"/>
        </w:rPr>
        <w:t xml:space="preserve">. </w:t>
      </w:r>
    </w:p>
    <w:p w:rsidR="00014E6A" w:rsidRPr="0007020E" w:rsidRDefault="00014E6A" w:rsidP="0007020E">
      <w:pPr>
        <w:jc w:val="both"/>
        <w:rPr>
          <w:rFonts w:ascii="Times New Roman" w:hAnsi="Times New Roman" w:cs="Times New Roman"/>
          <w:color w:val="000000"/>
          <w:lang w:val="en-GB"/>
        </w:rPr>
      </w:pPr>
    </w:p>
    <w:p w:rsidR="00014E6A" w:rsidRPr="0007020E" w:rsidRDefault="00014E6A" w:rsidP="0007020E">
      <w:pPr>
        <w:jc w:val="both"/>
        <w:rPr>
          <w:rFonts w:ascii="Times New Roman" w:hAnsi="Times New Roman" w:cs="Times New Roman"/>
        </w:rPr>
      </w:pPr>
      <w:r w:rsidRPr="0007020E">
        <w:rPr>
          <w:rFonts w:ascii="Times New Roman" w:hAnsi="Times New Roman" w:cs="Times New Roman"/>
        </w:rPr>
        <w:t xml:space="preserve">Ehkki Euroopa Regioonide Komitee ning tööhõive, sotsiaalküsimuste ja sotsiaalse kaasatuse peadirektoraat on varem mitmes valdkonnas koostööd teinud, on selge, et ees seisvad väljakutsed ning komisjoni voliniku suur huvi loovad võimaluse viia komisjoni ja komitee koostöö selles valdkonnas uuele tasemele. </w:t>
      </w:r>
    </w:p>
    <w:p w:rsidR="00014E6A" w:rsidRPr="0007020E" w:rsidRDefault="00014E6A" w:rsidP="0007020E">
      <w:pPr>
        <w:jc w:val="both"/>
        <w:rPr>
          <w:rFonts w:ascii="Times New Roman" w:hAnsi="Times New Roman" w:cs="Times New Roman"/>
          <w:lang w:val="en-GB"/>
        </w:rPr>
      </w:pPr>
    </w:p>
    <w:p w:rsidR="00014E6A" w:rsidRPr="0007020E" w:rsidRDefault="00014E6A" w:rsidP="0007020E">
      <w:pPr>
        <w:pStyle w:val="ListParagraph"/>
        <w:numPr>
          <w:ilvl w:val="0"/>
          <w:numId w:val="26"/>
        </w:numPr>
        <w:ind w:left="360"/>
        <w:jc w:val="both"/>
        <w:rPr>
          <w:rFonts w:ascii="Times New Roman" w:hAnsi="Times New Roman" w:cs="Times New Roman"/>
        </w:rPr>
      </w:pPr>
      <w:r w:rsidRPr="0007020E">
        <w:rPr>
          <w:rFonts w:ascii="Times New Roman" w:hAnsi="Times New Roman" w:cs="Times New Roman"/>
        </w:rPr>
        <w:t xml:space="preserve">Volinik Schmit on komitee vastu märkimisväärset huvi üles näidanud ning on vähem kui aasta jooksul osalenud juba kahel täiskogu istungjärgul ja ühel sotsiaalpoliitika, haridus-, tööhõive-, teadus- ja kultuurikomisjoni (SEDEC) koosolekul. </w:t>
      </w:r>
    </w:p>
    <w:p w:rsidR="00164C40" w:rsidRPr="0007020E" w:rsidRDefault="00164C40" w:rsidP="0007020E">
      <w:pPr>
        <w:pStyle w:val="ListParagraph"/>
        <w:numPr>
          <w:ilvl w:val="0"/>
          <w:numId w:val="26"/>
        </w:numPr>
        <w:ind w:left="360"/>
        <w:jc w:val="both"/>
        <w:rPr>
          <w:rFonts w:ascii="Times New Roman" w:hAnsi="Times New Roman" w:cs="Times New Roman"/>
        </w:rPr>
      </w:pPr>
      <w:r w:rsidRPr="0007020E">
        <w:rPr>
          <w:rFonts w:ascii="Times New Roman" w:hAnsi="Times New Roman" w:cs="Times New Roman"/>
        </w:rPr>
        <w:t>Joost Korte (tööhõive, sotsiaalküsimuste ja sotsiaalse kaasatuse peadirektoraadi peadirektor) osales SEDECi komisjoni 2020. aasta veebruaris toimunud koosolekul, kus ta esines kõnega, milles julgustas komitee liikmeid andma tagasisidet, mida küsiti komisjoni teatises „Tugev sotsiaalne Euroopa õiglaste üleminekute jaoks“ (SEDECi komisjon on juba alustanud selle kohta arvamuse koostamist).</w:t>
      </w:r>
    </w:p>
    <w:p w:rsidR="00164C40" w:rsidRPr="0007020E" w:rsidRDefault="00164C40" w:rsidP="0007020E">
      <w:pPr>
        <w:pStyle w:val="ListParagraph"/>
        <w:numPr>
          <w:ilvl w:val="0"/>
          <w:numId w:val="26"/>
        </w:numPr>
        <w:ind w:left="360"/>
        <w:jc w:val="both"/>
        <w:rPr>
          <w:rFonts w:ascii="Times New Roman" w:hAnsi="Times New Roman" w:cs="Times New Roman"/>
        </w:rPr>
      </w:pPr>
      <w:r w:rsidRPr="0007020E">
        <w:rPr>
          <w:rFonts w:ascii="Times New Roman" w:hAnsi="Times New Roman" w:cs="Times New Roman"/>
        </w:rPr>
        <w:t>Nii volinik kui ka peadirektor väljendasid selgelt soovi, et komitee osaleks aktiivselt Porto sotsiaaltippkohtumise (2021. aasta mais) ettevalmistamisel ja Euroopa sotsiaalõiguste samba rakendamise tegevuskava koostamisel.</w:t>
      </w:r>
    </w:p>
    <w:p w:rsidR="006A6308" w:rsidRPr="0007020E" w:rsidRDefault="006A6308" w:rsidP="0007020E">
      <w:pPr>
        <w:pStyle w:val="ListParagraph"/>
        <w:numPr>
          <w:ilvl w:val="0"/>
          <w:numId w:val="26"/>
        </w:numPr>
        <w:ind w:left="360"/>
        <w:jc w:val="both"/>
        <w:rPr>
          <w:rFonts w:ascii="Times New Roman" w:hAnsi="Times New Roman" w:cs="Times New Roman"/>
        </w:rPr>
      </w:pPr>
      <w:r w:rsidRPr="0007020E">
        <w:rPr>
          <w:rFonts w:ascii="Times New Roman" w:hAnsi="Times New Roman" w:cs="Times New Roman"/>
        </w:rPr>
        <w:lastRenderedPageBreak/>
        <w:t>Voliniku ja komitee presidendi kohtumisel (9. juulil) toetati vastastikuse koostöö soovi veelgi ning kinnitati, et mõlemad institutsioonid peaksid leidma rohkem koostöövõimalusi.</w:t>
      </w:r>
    </w:p>
    <w:p w:rsidR="00864E4E" w:rsidRPr="0007020E" w:rsidRDefault="00864E4E" w:rsidP="0007020E">
      <w:pPr>
        <w:jc w:val="both"/>
        <w:rPr>
          <w:rFonts w:ascii="Times New Roman" w:hAnsi="Times New Roman" w:cs="Times New Roman"/>
        </w:rPr>
      </w:pPr>
      <w:r w:rsidRPr="0007020E">
        <w:rPr>
          <w:rFonts w:ascii="Times New Roman" w:hAnsi="Times New Roman" w:cs="Times New Roman"/>
        </w:rPr>
        <w:t>Euroopa Komisjoni ja Regioonide Komitee koostööprotokolliga (2012/C 102/02)</w:t>
      </w:r>
      <w:r w:rsidRPr="0007020E">
        <w:rPr>
          <w:rFonts w:ascii="Times New Roman" w:hAnsi="Times New Roman" w:cs="Times New Roman"/>
          <w:lang w:val="en-GB"/>
        </w:rPr>
        <w:footnoteReference w:id="3"/>
      </w:r>
      <w:r w:rsidRPr="0007020E">
        <w:rPr>
          <w:rFonts w:ascii="Times New Roman" w:hAnsi="Times New Roman" w:cs="Times New Roman"/>
        </w:rPr>
        <w:t xml:space="preserve"> väljendasid komisjon ja komitee soovi oma koostööd süvendada. Käesolevas ühises dokumendis kehtestavad komitee ning tööhõive, sotsiaalküsimuste ja sotsiaalse kaasatuse peadirektoraat intensiivsema koostöö poliitikavaldkonnad ja tähtsamad vahendid.</w:t>
      </w:r>
    </w:p>
    <w:p w:rsidR="003D208F" w:rsidRPr="0007020E" w:rsidRDefault="003D208F" w:rsidP="0007020E">
      <w:pPr>
        <w:jc w:val="both"/>
        <w:rPr>
          <w:rFonts w:ascii="Times New Roman" w:hAnsi="Times New Roman" w:cs="Times New Roman"/>
          <w:lang w:val="en-GB"/>
        </w:rPr>
      </w:pPr>
    </w:p>
    <w:p w:rsidR="00EB524C" w:rsidRPr="0007020E" w:rsidRDefault="00EA2779" w:rsidP="0007020E">
      <w:pPr>
        <w:pStyle w:val="Heading1"/>
        <w:numPr>
          <w:ilvl w:val="0"/>
          <w:numId w:val="22"/>
        </w:numPr>
        <w:spacing w:before="0"/>
        <w:ind w:left="567" w:hanging="567"/>
        <w:jc w:val="both"/>
        <w:rPr>
          <w:rFonts w:ascii="Times New Roman" w:hAnsi="Times New Roman" w:cs="Times New Roman"/>
          <w:b/>
          <w:color w:val="auto"/>
          <w:sz w:val="24"/>
        </w:rPr>
      </w:pPr>
      <w:r w:rsidRPr="0007020E">
        <w:rPr>
          <w:rFonts w:ascii="Times New Roman" w:hAnsi="Times New Roman" w:cs="Times New Roman"/>
          <w:b/>
          <w:color w:val="auto"/>
          <w:sz w:val="24"/>
        </w:rPr>
        <w:t>Komitee ning tööhõive, sotsiaalküsimuste ja sotsiaalse kaasatuse peadirektoraadi tiheda koostöö põhiteemad</w:t>
      </w:r>
    </w:p>
    <w:p w:rsidR="004D765D" w:rsidRPr="0007020E" w:rsidRDefault="004D765D" w:rsidP="0007020E">
      <w:pPr>
        <w:keepNext/>
        <w:jc w:val="both"/>
        <w:rPr>
          <w:rFonts w:ascii="Times New Roman" w:hAnsi="Times New Roman" w:cs="Times New Roman"/>
          <w:lang w:val="en-GB"/>
        </w:rPr>
      </w:pPr>
    </w:p>
    <w:p w:rsidR="00964812" w:rsidRPr="0007020E" w:rsidRDefault="008E118B" w:rsidP="0007020E">
      <w:pPr>
        <w:jc w:val="both"/>
        <w:rPr>
          <w:rFonts w:ascii="Times New Roman" w:hAnsi="Times New Roman" w:cs="Times New Roman"/>
        </w:rPr>
      </w:pPr>
      <w:r w:rsidRPr="0007020E">
        <w:rPr>
          <w:rFonts w:ascii="Times New Roman" w:hAnsi="Times New Roman" w:cs="Times New Roman"/>
        </w:rPr>
        <w:t>Võttes arvesse sotsiaalse mõõtmega seotud teemade laia ulatust ning kasutada olevaid ressursse, on oluline, et intensiivsem koostöö keskenduks valdkondadele, milles komitee saab pakkuda selget lisaväärtust ja millel on tugevaim territoriaalne mõõde. Välistamata koostööd teistes valdkondades, eelkõige sotsiaalmajanduse edendamisel, on tugevdatud koostöö valdkonnad seega järgmised:</w:t>
      </w:r>
    </w:p>
    <w:p w:rsidR="003D208F" w:rsidRPr="0007020E" w:rsidRDefault="003D208F" w:rsidP="0007020E">
      <w:pPr>
        <w:jc w:val="both"/>
        <w:rPr>
          <w:rFonts w:ascii="Times New Roman" w:hAnsi="Times New Roman" w:cs="Times New Roman"/>
          <w:lang w:val="en-GB"/>
        </w:rPr>
      </w:pPr>
    </w:p>
    <w:p w:rsidR="00EA2779" w:rsidRPr="0007020E" w:rsidRDefault="00EA2779" w:rsidP="0007020E">
      <w:pPr>
        <w:pStyle w:val="Heading2"/>
        <w:jc w:val="both"/>
        <w:rPr>
          <w:rFonts w:ascii="Times New Roman" w:hAnsi="Times New Roman" w:cs="Times New Roman"/>
          <w:color w:val="365F91" w:themeColor="accent1" w:themeShade="BF"/>
        </w:rPr>
      </w:pPr>
      <w:r w:rsidRPr="0007020E">
        <w:rPr>
          <w:rFonts w:ascii="Times New Roman" w:hAnsi="Times New Roman" w:cs="Times New Roman"/>
          <w:b/>
          <w:sz w:val="24"/>
          <w:szCs w:val="24"/>
        </w:rPr>
        <w:t>2.1.</w:t>
      </w:r>
      <w:r w:rsidRPr="0007020E">
        <w:rPr>
          <w:rFonts w:ascii="Times New Roman" w:hAnsi="Times New Roman" w:cs="Times New Roman"/>
        </w:rPr>
        <w:tab/>
      </w:r>
      <w:r w:rsidRPr="0007020E">
        <w:rPr>
          <w:rFonts w:ascii="Times New Roman" w:hAnsi="Times New Roman" w:cs="Times New Roman"/>
          <w:b/>
          <w:sz w:val="24"/>
          <w:szCs w:val="32"/>
        </w:rPr>
        <w:t>Euroopa sotsiaalõiguste sammas</w:t>
      </w:r>
    </w:p>
    <w:p w:rsidR="00EA2779" w:rsidRPr="0007020E" w:rsidRDefault="00EA2779" w:rsidP="0007020E">
      <w:pPr>
        <w:jc w:val="both"/>
        <w:rPr>
          <w:rFonts w:ascii="Times New Roman" w:hAnsi="Times New Roman" w:cs="Times New Roman"/>
          <w:b/>
          <w:u w:val="single"/>
          <w:lang w:val="en-GB"/>
        </w:rPr>
      </w:pPr>
    </w:p>
    <w:p w:rsidR="005366D6" w:rsidRPr="0007020E" w:rsidRDefault="005366D6" w:rsidP="0007020E">
      <w:pPr>
        <w:jc w:val="both"/>
        <w:rPr>
          <w:rFonts w:ascii="Times New Roman" w:hAnsi="Times New Roman" w:cs="Times New Roman"/>
          <w:szCs w:val="24"/>
        </w:rPr>
      </w:pPr>
      <w:r w:rsidRPr="0007020E">
        <w:rPr>
          <w:rFonts w:ascii="Times New Roman" w:hAnsi="Times New Roman" w:cs="Times New Roman"/>
        </w:rPr>
        <w:t>Euroopa sotsiaalõiguste sammas on konsensusel põhinev dokument, mis kajastab väärtusi, mille eest EL tööhõive ja sotsiaalküsimuste vallas seisab.</w:t>
      </w:r>
      <w:r w:rsidRPr="0007020E">
        <w:rPr>
          <w:rFonts w:ascii="Times New Roman" w:hAnsi="Times New Roman" w:cs="Times New Roman"/>
          <w:i/>
          <w:szCs w:val="24"/>
        </w:rPr>
        <w:t xml:space="preserve"> </w:t>
      </w:r>
      <w:r w:rsidRPr="0007020E">
        <w:rPr>
          <w:rFonts w:ascii="Times New Roman" w:hAnsi="Times New Roman" w:cs="Times New Roman"/>
        </w:rPr>
        <w:t>See kuulutati välja kõrgeimal poliitilisel tasandil ning tänu sellele on ELi, riigi, piirkondlikul ja kohalikul tasandil juba rakendatud kaugeleulatuvaid meetmeid, mis tugevdavad ELi sotsiaalset mõõdet. 27. mai 2020. aasta teatisega seadis komisjon Euroopa sotsiaalõiguste samba ka oma COVID-19 kriisist õiglaselt ja kaasavalt taastumise kava keskmesse.</w:t>
      </w:r>
    </w:p>
    <w:p w:rsidR="005366D6" w:rsidRPr="0007020E" w:rsidRDefault="005366D6" w:rsidP="0007020E">
      <w:pPr>
        <w:jc w:val="both"/>
        <w:rPr>
          <w:rFonts w:ascii="Times New Roman" w:hAnsi="Times New Roman" w:cs="Times New Roman"/>
          <w:szCs w:val="24"/>
          <w:lang w:val="en-GB" w:eastAsia="fr-BE"/>
        </w:rPr>
      </w:pPr>
    </w:p>
    <w:p w:rsidR="005366D6" w:rsidRPr="0007020E" w:rsidRDefault="005366D6" w:rsidP="0007020E">
      <w:pPr>
        <w:jc w:val="both"/>
        <w:rPr>
          <w:rFonts w:ascii="Times New Roman" w:hAnsi="Times New Roman" w:cs="Times New Roman"/>
          <w:szCs w:val="24"/>
        </w:rPr>
      </w:pPr>
      <w:r w:rsidRPr="0007020E">
        <w:rPr>
          <w:rFonts w:ascii="Times New Roman" w:hAnsi="Times New Roman" w:cs="Times New Roman"/>
        </w:rPr>
        <w:t xml:space="preserve">Euroopa Ülemkogus 2019. aasta juunis kokku lepitud 2019.–2024. aasta strateegilises tegevuskavas kutsutakse üles rakendama sammast ELi ja liikmesriikide tasemel, pidades seejuures silmas vastavaid pädevusi. </w:t>
      </w:r>
    </w:p>
    <w:p w:rsidR="003D208F" w:rsidRPr="0007020E" w:rsidRDefault="003D208F" w:rsidP="0007020E">
      <w:pPr>
        <w:jc w:val="both"/>
        <w:rPr>
          <w:rFonts w:ascii="Times New Roman" w:hAnsi="Times New Roman" w:cs="Times New Roman"/>
          <w:szCs w:val="24"/>
          <w:lang w:val="en-GB" w:eastAsia="en-GB"/>
        </w:rPr>
      </w:pPr>
    </w:p>
    <w:p w:rsidR="005366D6" w:rsidRPr="0007020E" w:rsidRDefault="005366D6" w:rsidP="0007020E">
      <w:pPr>
        <w:jc w:val="both"/>
        <w:rPr>
          <w:rFonts w:ascii="Times New Roman" w:hAnsi="Times New Roman" w:cs="Times New Roman"/>
          <w:szCs w:val="24"/>
        </w:rPr>
      </w:pPr>
      <w:r w:rsidRPr="0007020E">
        <w:rPr>
          <w:rFonts w:ascii="Times New Roman" w:hAnsi="Times New Roman" w:cs="Times New Roman"/>
        </w:rPr>
        <w:t>President von der Leyeni komisjonile esitatud poliitilised suunised kohustasid esitama tegevuskava Euroopa sotsiaalõiguste samba täielikuks rakendamiseks. Komisjoni 14. jaanuari 2020 teatises „Tugev sotsiaalne Euroopa õiglaste üleminekute jaoks“ esitati rida tähtsaid meetmeid 2020. ja 2021. aastaks ning algatati laiaulatuslik konsulteerimise ja kaasamise programm tegevuskava koostamisse panustamiseks. Sotsiaalse toetuse ja kaitse vajadus on praeguse COVID-19 pandeemia ajal veel teravam, kuna liikmesriikide sotsiaalsed tugisüsteemid on olnud väga suure surve all ning ELi sotsiaalne struktuur on rebenemisohus.</w:t>
      </w:r>
    </w:p>
    <w:p w:rsidR="005366D6" w:rsidRPr="0007020E" w:rsidRDefault="005366D6" w:rsidP="0007020E">
      <w:pPr>
        <w:jc w:val="both"/>
        <w:rPr>
          <w:rFonts w:ascii="Times New Roman" w:hAnsi="Times New Roman" w:cs="Times New Roman"/>
          <w:szCs w:val="24"/>
          <w:lang w:val="en-GB" w:eastAsia="en-GB"/>
        </w:rPr>
      </w:pPr>
    </w:p>
    <w:p w:rsidR="005366D6" w:rsidRPr="0007020E" w:rsidRDefault="005366D6" w:rsidP="0007020E">
      <w:pPr>
        <w:autoSpaceDE w:val="0"/>
        <w:autoSpaceDN w:val="0"/>
        <w:adjustRightInd w:val="0"/>
        <w:jc w:val="both"/>
        <w:rPr>
          <w:rFonts w:ascii="Times New Roman" w:hAnsi="Times New Roman" w:cs="Times New Roman"/>
          <w:szCs w:val="24"/>
        </w:rPr>
      </w:pPr>
      <w:r w:rsidRPr="0007020E">
        <w:rPr>
          <w:rFonts w:ascii="Times New Roman" w:hAnsi="Times New Roman" w:cs="Times New Roman"/>
        </w:rPr>
        <w:lastRenderedPageBreak/>
        <w:t xml:space="preserve">Komisjoni eesmärk on esitada tegevuskava 2021. aasta alguses ning püüda saada sellele 2021. aasta mais eesistujariigi Portugali korraldatud sotsiaaltippkohtumisel kõrgeima poliitilise tasandi toetus. </w:t>
      </w:r>
    </w:p>
    <w:p w:rsidR="00CE0C02" w:rsidRPr="0007020E" w:rsidRDefault="00CE0C02" w:rsidP="0007020E">
      <w:pPr>
        <w:jc w:val="both"/>
        <w:rPr>
          <w:rFonts w:ascii="Times New Roman" w:hAnsi="Times New Roman" w:cs="Times New Roman"/>
          <w:bCs/>
          <w:u w:val="single"/>
          <w:lang w:val="en-GB"/>
        </w:rPr>
      </w:pPr>
    </w:p>
    <w:p w:rsidR="00EA2779" w:rsidRPr="0007020E" w:rsidRDefault="00B40809" w:rsidP="0007020E">
      <w:pPr>
        <w:jc w:val="both"/>
        <w:rPr>
          <w:rFonts w:ascii="Times New Roman" w:hAnsi="Times New Roman" w:cs="Times New Roman"/>
          <w:bCs/>
        </w:rPr>
      </w:pPr>
      <w:r w:rsidRPr="0007020E">
        <w:rPr>
          <w:rFonts w:ascii="Times New Roman" w:hAnsi="Times New Roman" w:cs="Times New Roman"/>
        </w:rPr>
        <w:t>On ilmne, et kohalikel ja piirkondlikel omavalitsustel on ELis tööhõive- ja sotsiaalpoliitika väljatöötamisel ning rakendamisel tähtis roll. COVID-19 kriis on eri piirkondi väga erinevalt mõjutanud, sõltuvalt nende majandusstruktuurist ja kokkupuutest terviseohuga. Kohalikud ja piirkondlikud omavalitsused saavad aidata kriisile sellise reageeringu väljatöötamisel ja rakendamisel, milles käsitletakse kriisieelseid ja -järgseid väljakutseid seoses sotsiaalse ja territoriaalse ühtekuuluvusega. Seepärast on vaja kaasata kohalikud ja piirkondlikud omavalitsused, iseäranis alljärgneva kaudu:</w:t>
      </w:r>
    </w:p>
    <w:p w:rsidR="00CB78E1" w:rsidRPr="0007020E" w:rsidRDefault="00CB78E1" w:rsidP="0007020E">
      <w:pPr>
        <w:jc w:val="both"/>
        <w:rPr>
          <w:rFonts w:ascii="Times New Roman" w:hAnsi="Times New Roman" w:cs="Times New Roman"/>
          <w:bCs/>
          <w:u w:val="single"/>
          <w:lang w:val="en-GB"/>
        </w:rPr>
      </w:pPr>
    </w:p>
    <w:p w:rsidR="00CB78E1" w:rsidRPr="0007020E" w:rsidRDefault="00F771E0" w:rsidP="0007020E">
      <w:pPr>
        <w:pStyle w:val="ListParagraph"/>
        <w:numPr>
          <w:ilvl w:val="0"/>
          <w:numId w:val="19"/>
        </w:numPr>
        <w:spacing w:after="0" w:line="288" w:lineRule="auto"/>
        <w:ind w:left="360"/>
        <w:jc w:val="both"/>
        <w:rPr>
          <w:rFonts w:ascii="Times New Roman" w:hAnsi="Times New Roman" w:cs="Times New Roman"/>
        </w:rPr>
      </w:pPr>
      <w:r w:rsidRPr="0007020E">
        <w:rPr>
          <w:rFonts w:ascii="Times New Roman" w:hAnsi="Times New Roman" w:cs="Times New Roman"/>
        </w:rPr>
        <w:t>komitee arvamus teatise „Tugev sotsiaalne Euroopa õiglaste üleminekute jaoks“ kohta (raportöör Anne Karjalainen (FI/PES), vastu võetud 2020. aasta oktoobri täiskogul), mis on komitee üldine vastus komisjoni teatisele;</w:t>
      </w:r>
    </w:p>
    <w:p w:rsidR="00421A56" w:rsidRPr="0007020E" w:rsidRDefault="00421A56" w:rsidP="0007020E">
      <w:pPr>
        <w:pStyle w:val="ListParagraph"/>
        <w:spacing w:after="0" w:line="288" w:lineRule="auto"/>
        <w:ind w:left="360"/>
        <w:jc w:val="both"/>
        <w:rPr>
          <w:rFonts w:ascii="Times New Roman" w:hAnsi="Times New Roman" w:cs="Times New Roman"/>
          <w:bCs/>
        </w:rPr>
      </w:pPr>
    </w:p>
    <w:p w:rsidR="00176CAE" w:rsidRPr="0007020E" w:rsidRDefault="00176CAE" w:rsidP="0007020E">
      <w:pPr>
        <w:pStyle w:val="ListParagraph"/>
        <w:numPr>
          <w:ilvl w:val="0"/>
          <w:numId w:val="19"/>
        </w:numPr>
        <w:spacing w:after="0" w:line="288" w:lineRule="auto"/>
        <w:ind w:left="360"/>
        <w:jc w:val="both"/>
        <w:rPr>
          <w:rFonts w:ascii="Times New Roman" w:hAnsi="Times New Roman" w:cs="Times New Roman"/>
        </w:rPr>
      </w:pPr>
      <w:r w:rsidRPr="0007020E">
        <w:rPr>
          <w:rFonts w:ascii="Times New Roman" w:hAnsi="Times New Roman" w:cs="Times New Roman"/>
        </w:rPr>
        <w:t>komitee arvamus teemal „Tulevikukava hooldustöötajate ja -teenuste jaoks – kohalikud ja piirkondlikud võimalused Euroopa väljakutseks“ (raportöör kinnitamisel);</w:t>
      </w:r>
    </w:p>
    <w:p w:rsidR="00E136C4" w:rsidRPr="0007020E" w:rsidRDefault="00E136C4" w:rsidP="0007020E">
      <w:pPr>
        <w:pStyle w:val="ListParagraph"/>
        <w:spacing w:after="0" w:line="288" w:lineRule="auto"/>
        <w:ind w:left="360"/>
        <w:jc w:val="both"/>
        <w:rPr>
          <w:rFonts w:ascii="Times New Roman" w:hAnsi="Times New Roman" w:cs="Times New Roman"/>
        </w:rPr>
      </w:pPr>
    </w:p>
    <w:p w:rsidR="00F771E0" w:rsidRPr="0007020E" w:rsidRDefault="00421A56" w:rsidP="0007020E">
      <w:pPr>
        <w:pStyle w:val="ListParagraph"/>
        <w:numPr>
          <w:ilvl w:val="0"/>
          <w:numId w:val="19"/>
        </w:numPr>
        <w:spacing w:after="0" w:line="288" w:lineRule="auto"/>
        <w:ind w:left="360"/>
        <w:jc w:val="both"/>
        <w:rPr>
          <w:rFonts w:ascii="Times New Roman" w:hAnsi="Times New Roman" w:cs="Times New Roman"/>
        </w:rPr>
      </w:pPr>
      <w:r w:rsidRPr="0007020E">
        <w:rPr>
          <w:rFonts w:ascii="Times New Roman" w:hAnsi="Times New Roman" w:cs="Times New Roman"/>
        </w:rPr>
        <w:t>2020. aasta Euroopa piirkondade ja linnade nädala</w:t>
      </w:r>
      <w:r w:rsidRPr="0007020E">
        <w:rPr>
          <w:rFonts w:ascii="Times New Roman" w:hAnsi="Times New Roman" w:cs="Times New Roman"/>
          <w:color w:val="000000"/>
        </w:rPr>
        <w:t xml:space="preserve"> istung teemal „Platvormitöötajate sotsiaalkindlustus – raskused ja võimalused“ tööhõive, sotsiaalküsimuste ja sotsiaalse kaasatuse peadirektoraadi osalusel;</w:t>
      </w:r>
    </w:p>
    <w:p w:rsidR="00267B85" w:rsidRPr="0007020E" w:rsidRDefault="00267B85" w:rsidP="0007020E">
      <w:pPr>
        <w:pStyle w:val="ListParagraph"/>
        <w:spacing w:after="0" w:line="288" w:lineRule="auto"/>
        <w:ind w:left="360"/>
        <w:jc w:val="both"/>
        <w:rPr>
          <w:rFonts w:ascii="Times New Roman" w:hAnsi="Times New Roman" w:cs="Times New Roman"/>
        </w:rPr>
      </w:pPr>
    </w:p>
    <w:p w:rsidR="00512960" w:rsidRPr="0007020E" w:rsidRDefault="00F5129F" w:rsidP="0007020E">
      <w:pPr>
        <w:pStyle w:val="ListParagraph"/>
        <w:numPr>
          <w:ilvl w:val="0"/>
          <w:numId w:val="19"/>
        </w:numPr>
        <w:spacing w:after="0" w:line="288" w:lineRule="auto"/>
        <w:ind w:left="360"/>
        <w:jc w:val="both"/>
        <w:rPr>
          <w:rFonts w:ascii="Times New Roman" w:hAnsi="Times New Roman" w:cs="Times New Roman"/>
          <w:b/>
          <w:u w:val="single"/>
        </w:rPr>
      </w:pPr>
      <w:r w:rsidRPr="0007020E">
        <w:rPr>
          <w:rFonts w:ascii="Times New Roman" w:hAnsi="Times New Roman" w:cs="Times New Roman"/>
        </w:rPr>
        <w:t>komisjon ja komitee uurivad koos eesistujamaa Portugaliga, kuidas komitee saab sotsiaaltippkohtumisel osaleda, et kajastada Euroopa sotsiaalõiguste samba rakendamise territoriaalset mõõdet.</w:t>
      </w:r>
    </w:p>
    <w:p w:rsidR="00151730" w:rsidRPr="0007020E" w:rsidRDefault="00151730" w:rsidP="0007020E">
      <w:pPr>
        <w:jc w:val="both"/>
        <w:rPr>
          <w:rFonts w:ascii="Times New Roman" w:hAnsi="Times New Roman" w:cs="Times New Roman"/>
          <w:lang w:val="en-GB"/>
        </w:rPr>
      </w:pPr>
    </w:p>
    <w:p w:rsidR="00EA2779" w:rsidRPr="0007020E" w:rsidRDefault="00EA2779" w:rsidP="0007020E">
      <w:pPr>
        <w:pStyle w:val="Heading2"/>
        <w:ind w:left="426" w:hanging="426"/>
        <w:jc w:val="both"/>
        <w:rPr>
          <w:rFonts w:ascii="Times New Roman" w:eastAsiaTheme="majorEastAsia" w:hAnsi="Times New Roman" w:cs="Times New Roman"/>
          <w:b/>
          <w:color w:val="365F91" w:themeColor="accent1" w:themeShade="BF"/>
          <w:sz w:val="24"/>
          <w:szCs w:val="32"/>
        </w:rPr>
      </w:pPr>
      <w:r w:rsidRPr="0007020E">
        <w:rPr>
          <w:rFonts w:ascii="Times New Roman" w:hAnsi="Times New Roman" w:cs="Times New Roman"/>
          <w:b/>
          <w:sz w:val="24"/>
          <w:szCs w:val="24"/>
        </w:rPr>
        <w:t>2.2.</w:t>
      </w:r>
      <w:r w:rsidRPr="0007020E">
        <w:rPr>
          <w:rFonts w:ascii="Times New Roman" w:hAnsi="Times New Roman" w:cs="Times New Roman"/>
          <w:b/>
          <w:sz w:val="24"/>
          <w:szCs w:val="24"/>
        </w:rPr>
        <w:tab/>
      </w:r>
      <w:r w:rsidRPr="0007020E">
        <w:rPr>
          <w:rFonts w:ascii="Times New Roman" w:hAnsi="Times New Roman" w:cs="Times New Roman"/>
          <w:b/>
          <w:sz w:val="24"/>
          <w:szCs w:val="32"/>
        </w:rPr>
        <w:t>Euroopa Sotsiaalfondi+ (ESF+) ning taasteabi REACT-EU ettevalmistamine noorte tööhõive meetmete piisavaks rahastamiseks</w:t>
      </w:r>
    </w:p>
    <w:p w:rsidR="00527019" w:rsidRPr="0007020E" w:rsidRDefault="00527019" w:rsidP="0007020E">
      <w:pPr>
        <w:keepNext/>
        <w:jc w:val="both"/>
        <w:rPr>
          <w:rFonts w:ascii="Times New Roman" w:hAnsi="Times New Roman" w:cs="Times New Roman"/>
          <w:lang w:val="en-GB"/>
        </w:rPr>
      </w:pPr>
    </w:p>
    <w:p w:rsidR="00527019" w:rsidRPr="0007020E" w:rsidRDefault="00527019" w:rsidP="0007020E">
      <w:pPr>
        <w:jc w:val="both"/>
        <w:rPr>
          <w:rFonts w:ascii="Times New Roman" w:hAnsi="Times New Roman" w:cs="Times New Roman"/>
          <w:bCs/>
        </w:rPr>
      </w:pPr>
      <w:r w:rsidRPr="0007020E">
        <w:rPr>
          <w:rFonts w:ascii="Times New Roman" w:hAnsi="Times New Roman" w:cs="Times New Roman"/>
        </w:rPr>
        <w:t>Paljud kohalikud ja piirkondlikud omavalitsused tegelevad praegu aktiivselt tulevaste ESF+-i programmide koostamisega ja projektide väljatöötamisega ESF+-i vahendite kasutamiseks. Komisjon tegi ESF+-iga ettepaneku suurendada noorte tööhõivemeetmete rahastamist liikmesriikides, kus mittetöötavate ja mitteõppivate noorte osakaal on ELi keskmisest suurem</w:t>
      </w:r>
      <w:r w:rsidR="006E25E8" w:rsidRPr="0007020E">
        <w:rPr>
          <w:rStyle w:val="FootnoteReference"/>
          <w:rFonts w:ascii="Times New Roman" w:hAnsi="Times New Roman" w:cs="Times New Roman"/>
          <w:bCs/>
          <w:sz w:val="24"/>
          <w:szCs w:val="24"/>
          <w:lang w:val="en-GB"/>
        </w:rPr>
        <w:footnoteReference w:id="4"/>
      </w:r>
      <w:r w:rsidRPr="0007020E">
        <w:rPr>
          <w:rFonts w:ascii="Times New Roman" w:hAnsi="Times New Roman" w:cs="Times New Roman"/>
        </w:rPr>
        <w:t>. Lisaks võib uut taasteabi REACT-EU kasutada noorte tööhõive meetmete toetamiseks. Selle uue abivõimaluse kasutegurite täielikult ära kasutamine on praeguse pandeemia ja selle tõenäolise mõju valguses noorte tööhõivele äärmiselt tähtis.</w:t>
      </w:r>
    </w:p>
    <w:p w:rsidR="00CB78E1" w:rsidRPr="0007020E" w:rsidRDefault="00CB78E1" w:rsidP="0007020E">
      <w:pPr>
        <w:jc w:val="both"/>
        <w:rPr>
          <w:rFonts w:ascii="Times New Roman" w:hAnsi="Times New Roman" w:cs="Times New Roman"/>
          <w:bCs/>
          <w:u w:val="single"/>
          <w:lang w:val="en-GB"/>
        </w:rPr>
      </w:pPr>
    </w:p>
    <w:p w:rsidR="00AE28C2" w:rsidRPr="0007020E" w:rsidRDefault="00F52BD7" w:rsidP="0007020E">
      <w:pPr>
        <w:jc w:val="both"/>
        <w:rPr>
          <w:rFonts w:ascii="Times New Roman" w:hAnsi="Times New Roman" w:cs="Times New Roman"/>
          <w:bCs/>
        </w:rPr>
      </w:pPr>
      <w:r w:rsidRPr="0007020E">
        <w:rPr>
          <w:rFonts w:ascii="Times New Roman" w:hAnsi="Times New Roman" w:cs="Times New Roman"/>
        </w:rPr>
        <w:t xml:space="preserve">Komitee võiks hõlbustada noorte tööhõive meetmete toetamiseks eraldatud REACT-EU ja ESF+-i rahaliste vahendite kasutamise asjus teabe ja heade tavade vahetamist. See rahaline abi annab oma osa </w:t>
      </w:r>
      <w:r w:rsidRPr="0007020E">
        <w:rPr>
          <w:rFonts w:ascii="Times New Roman" w:hAnsi="Times New Roman" w:cs="Times New Roman"/>
        </w:rPr>
        <w:lastRenderedPageBreak/>
        <w:t>ELi üldeesmärki eraldada selle sihteesmärgi täitmiseks vähemalt 22 miljardit eurot</w:t>
      </w:r>
      <w:r w:rsidR="008911F1" w:rsidRPr="0007020E">
        <w:rPr>
          <w:rStyle w:val="FootnoteReference"/>
          <w:rFonts w:ascii="Times New Roman" w:hAnsi="Times New Roman" w:cs="Times New Roman"/>
          <w:bCs/>
          <w:sz w:val="24"/>
          <w:szCs w:val="24"/>
          <w:lang w:val="en-GB"/>
        </w:rPr>
        <w:footnoteReference w:id="5"/>
      </w:r>
      <w:r w:rsidRPr="0007020E">
        <w:rPr>
          <w:rFonts w:ascii="Times New Roman" w:hAnsi="Times New Roman" w:cs="Times New Roman"/>
        </w:rPr>
        <w:t xml:space="preserve"> ning on tugevdatud noortegarantii rahastamiselement</w:t>
      </w:r>
      <w:r w:rsidR="008911F1" w:rsidRPr="0007020E">
        <w:rPr>
          <w:rStyle w:val="FootnoteReference"/>
          <w:rFonts w:ascii="Times New Roman" w:hAnsi="Times New Roman" w:cs="Times New Roman"/>
          <w:bCs/>
          <w:sz w:val="24"/>
          <w:szCs w:val="24"/>
          <w:lang w:val="en-GB"/>
        </w:rPr>
        <w:footnoteReference w:id="6"/>
      </w:r>
      <w:r w:rsidRPr="0007020E">
        <w:rPr>
          <w:rFonts w:ascii="Times New Roman" w:hAnsi="Times New Roman" w:cs="Times New Roman"/>
        </w:rPr>
        <w:t xml:space="preserve">. </w:t>
      </w:r>
    </w:p>
    <w:p w:rsidR="00AE28C2" w:rsidRPr="0007020E" w:rsidRDefault="00AE28C2" w:rsidP="0007020E">
      <w:pPr>
        <w:jc w:val="both"/>
        <w:rPr>
          <w:rFonts w:ascii="Times New Roman" w:hAnsi="Times New Roman" w:cs="Times New Roman"/>
          <w:bCs/>
          <w:u w:val="single"/>
          <w:lang w:val="en-GB"/>
        </w:rPr>
      </w:pPr>
    </w:p>
    <w:p w:rsidR="006106B7" w:rsidRPr="0007020E" w:rsidRDefault="002867F1" w:rsidP="0007020E">
      <w:pPr>
        <w:jc w:val="both"/>
        <w:rPr>
          <w:rFonts w:ascii="Times New Roman" w:hAnsi="Times New Roman" w:cs="Times New Roman"/>
          <w:bCs/>
        </w:rPr>
      </w:pPr>
      <w:r w:rsidRPr="0007020E">
        <w:rPr>
          <w:rFonts w:ascii="Times New Roman" w:hAnsi="Times New Roman" w:cs="Times New Roman"/>
        </w:rPr>
        <w:t xml:space="preserve">Komitee võiks partnerluse põhimõtte vaimus edendada kohalike ja piirkondlike omavalitsuste dialoogi noorte töötuse vastu võitlemise kontseptsioonide väljatöötamisel tihedas koostöös sotsiaalpartneritega ning saada piirkondade ja linnade vahel mõtete ja meetmete jagamise platvormiks. </w:t>
      </w:r>
    </w:p>
    <w:p w:rsidR="006106B7" w:rsidRPr="0007020E" w:rsidRDefault="006106B7" w:rsidP="0007020E">
      <w:pPr>
        <w:jc w:val="both"/>
        <w:rPr>
          <w:rFonts w:ascii="Times New Roman" w:hAnsi="Times New Roman" w:cs="Times New Roman"/>
          <w:bCs/>
          <w:lang w:val="en-GB"/>
        </w:rPr>
      </w:pPr>
    </w:p>
    <w:p w:rsidR="00527019" w:rsidRPr="0007020E" w:rsidRDefault="006106B7" w:rsidP="0007020E">
      <w:pPr>
        <w:jc w:val="both"/>
        <w:rPr>
          <w:rFonts w:ascii="Times New Roman" w:hAnsi="Times New Roman" w:cs="Times New Roman"/>
        </w:rPr>
      </w:pPr>
      <w:r w:rsidRPr="0007020E">
        <w:rPr>
          <w:rFonts w:ascii="Times New Roman" w:hAnsi="Times New Roman" w:cs="Times New Roman"/>
        </w:rPr>
        <w:t>Sel viisil saaks komitee läbi viia komisjoni teatise „Noorte tööhõive toetus: töösild järgmise põlvkonna jaoks“</w:t>
      </w:r>
      <w:r w:rsidR="00150CCB" w:rsidRPr="0007020E">
        <w:rPr>
          <w:rStyle w:val="FootnoteReference"/>
          <w:rFonts w:ascii="Times New Roman" w:hAnsi="Times New Roman" w:cs="Times New Roman"/>
          <w:sz w:val="24"/>
          <w:szCs w:val="24"/>
          <w:lang w:val="en-GB"/>
        </w:rPr>
        <w:footnoteReference w:id="7"/>
      </w:r>
      <w:r w:rsidRPr="0007020E">
        <w:rPr>
          <w:rFonts w:ascii="Times New Roman" w:hAnsi="Times New Roman" w:cs="Times New Roman"/>
        </w:rPr>
        <w:t xml:space="preserve"> mõtestatud järeltegevuse ja toimuda saaksid täiendavad tööhõive, sotsiaalküsimuste ja sotsiaalse kaasatuse peadirektoraadi ning komitee koosolekud. </w:t>
      </w:r>
    </w:p>
    <w:p w:rsidR="00F165DD" w:rsidRPr="0007020E" w:rsidRDefault="00F165DD" w:rsidP="0007020E">
      <w:pPr>
        <w:jc w:val="both"/>
        <w:rPr>
          <w:rFonts w:ascii="Times New Roman" w:hAnsi="Times New Roman" w:cs="Times New Roman"/>
          <w:bCs/>
          <w:lang w:val="en-GB"/>
        </w:rPr>
      </w:pPr>
    </w:p>
    <w:p w:rsidR="00CB78E1" w:rsidRPr="0007020E" w:rsidRDefault="00CB78E1" w:rsidP="0007020E">
      <w:pPr>
        <w:pStyle w:val="Heading2"/>
        <w:ind w:left="567" w:hanging="567"/>
        <w:jc w:val="both"/>
        <w:rPr>
          <w:rFonts w:ascii="Times New Roman" w:eastAsiaTheme="majorEastAsia" w:hAnsi="Times New Roman" w:cs="Times New Roman"/>
          <w:b/>
          <w:color w:val="365F91" w:themeColor="accent1" w:themeShade="BF"/>
          <w:sz w:val="24"/>
          <w:szCs w:val="32"/>
        </w:rPr>
      </w:pPr>
      <w:r w:rsidRPr="0007020E">
        <w:rPr>
          <w:rFonts w:ascii="Times New Roman" w:hAnsi="Times New Roman" w:cs="Times New Roman"/>
          <w:b/>
          <w:sz w:val="24"/>
          <w:szCs w:val="24"/>
        </w:rPr>
        <w:t xml:space="preserve">2.3. </w:t>
      </w:r>
      <w:r w:rsidRPr="0007020E">
        <w:rPr>
          <w:rFonts w:ascii="Times New Roman" w:hAnsi="Times New Roman" w:cs="Times New Roman"/>
          <w:b/>
          <w:sz w:val="24"/>
          <w:szCs w:val="24"/>
        </w:rPr>
        <w:tab/>
      </w:r>
      <w:r w:rsidRPr="0007020E">
        <w:rPr>
          <w:rFonts w:ascii="Times New Roman" w:hAnsi="Times New Roman" w:cs="Times New Roman"/>
          <w:b/>
          <w:sz w:val="24"/>
          <w:szCs w:val="32"/>
        </w:rPr>
        <w:t xml:space="preserve">Oskuste tegevuskava </w:t>
      </w:r>
    </w:p>
    <w:p w:rsidR="006106B7" w:rsidRPr="0007020E" w:rsidRDefault="006106B7" w:rsidP="0007020E">
      <w:pPr>
        <w:keepNext/>
        <w:jc w:val="both"/>
        <w:rPr>
          <w:rFonts w:ascii="Times New Roman" w:eastAsiaTheme="majorEastAsia" w:hAnsi="Times New Roman" w:cs="Times New Roman"/>
          <w:lang w:val="en-GB"/>
        </w:rPr>
      </w:pPr>
    </w:p>
    <w:p w:rsidR="006106B7" w:rsidRPr="0007020E" w:rsidRDefault="00EE2DE9" w:rsidP="0007020E">
      <w:pPr>
        <w:jc w:val="both"/>
        <w:rPr>
          <w:rFonts w:ascii="Times New Roman" w:hAnsi="Times New Roman" w:cs="Times New Roman"/>
        </w:rPr>
      </w:pPr>
      <w:r w:rsidRPr="0007020E">
        <w:rPr>
          <w:rFonts w:ascii="Times New Roman" w:hAnsi="Times New Roman" w:cs="Times New Roman"/>
        </w:rPr>
        <w:t>Pandeemia mõju sellele, kuidas me töötame, ning samaaegne rohe- ja digiüleminek majanduses nihutab ELis oluliselt oskuste paradigmat. Seepärast on äärmiselt oluline toetada ja siduda hiljutises jätkusuutlikku konkurentsivõimet, sotsiaalset õiglust ja vastupanuvõimet toetavas Euroopa oskuste tegevuskavas välja toodud kohalikku vaatenurka oskustele</w:t>
      </w:r>
      <w:r w:rsidR="002867F1" w:rsidRPr="0007020E">
        <w:rPr>
          <w:rStyle w:val="FootnoteReference"/>
          <w:rFonts w:ascii="Times New Roman" w:hAnsi="Times New Roman" w:cs="Times New Roman"/>
          <w:bCs/>
          <w:sz w:val="24"/>
          <w:szCs w:val="24"/>
          <w:lang w:val="en-GB"/>
        </w:rPr>
        <w:footnoteReference w:id="8"/>
      </w:r>
      <w:r w:rsidRPr="0007020E">
        <w:rPr>
          <w:rFonts w:ascii="Times New Roman" w:hAnsi="Times New Roman" w:cs="Times New Roman"/>
        </w:rPr>
        <w:t>. Kohalikul tasandil töötamine võib maksimeerida kohalike partnerite, näiteks väikeste ja keskmise suurusega ettevõtete kaasamist. Samuti võimaldab see paremini mõista kohaliku tööturu vajadusi ning uurida vastastikmõju teiste kohalike ja piirkondlike strateegiatega. Lisaks võivad kohalikud ja piirkondlikud seisukohad aidata luua kvalitatiivseid prognoose ning kvantitatiivseid oskuste prognoose, mille alusel saab omakorda välja töötada oskuste prognoosimise mudeli või meetodi, mida saab tulevikus kavandamisel ja poliitika väljatöötamisel kasutada.</w:t>
      </w:r>
    </w:p>
    <w:p w:rsidR="006106B7" w:rsidRPr="0007020E" w:rsidRDefault="006106B7" w:rsidP="0007020E">
      <w:pPr>
        <w:jc w:val="both"/>
        <w:rPr>
          <w:rFonts w:ascii="Times New Roman" w:hAnsi="Times New Roman" w:cs="Times New Roman"/>
          <w:bCs/>
          <w:lang w:val="en-GB"/>
        </w:rPr>
      </w:pPr>
    </w:p>
    <w:p w:rsidR="00421A56" w:rsidRPr="0007020E" w:rsidRDefault="00150CCB" w:rsidP="0007020E">
      <w:pPr>
        <w:keepNext/>
        <w:keepLines/>
        <w:jc w:val="both"/>
        <w:rPr>
          <w:rFonts w:ascii="Times New Roman" w:hAnsi="Times New Roman" w:cs="Times New Roman"/>
          <w:bCs/>
        </w:rPr>
      </w:pPr>
      <w:r w:rsidRPr="0007020E">
        <w:rPr>
          <w:rFonts w:ascii="Times New Roman" w:hAnsi="Times New Roman" w:cs="Times New Roman"/>
        </w:rPr>
        <w:t>Edasist koostööd võib teha järgmiselt:</w:t>
      </w:r>
    </w:p>
    <w:p w:rsidR="000A7400" w:rsidRPr="0007020E" w:rsidRDefault="000A7400" w:rsidP="0007020E">
      <w:pPr>
        <w:pStyle w:val="ListParagraph"/>
        <w:keepNext/>
        <w:keepLines/>
        <w:spacing w:after="0" w:line="288" w:lineRule="auto"/>
        <w:ind w:left="360"/>
        <w:jc w:val="both"/>
        <w:rPr>
          <w:rStyle w:val="normaltextrun"/>
          <w:rFonts w:ascii="Times New Roman" w:hAnsi="Times New Roman" w:cs="Times New Roman"/>
        </w:rPr>
      </w:pPr>
    </w:p>
    <w:p w:rsidR="000A7400" w:rsidRPr="0007020E" w:rsidRDefault="00151730" w:rsidP="0007020E">
      <w:pPr>
        <w:pStyle w:val="ListParagraph"/>
        <w:keepNext/>
        <w:keepLines/>
        <w:numPr>
          <w:ilvl w:val="0"/>
          <w:numId w:val="32"/>
        </w:numPr>
        <w:spacing w:after="0" w:line="288" w:lineRule="auto"/>
        <w:jc w:val="both"/>
        <w:rPr>
          <w:rStyle w:val="normaltextrun"/>
          <w:rFonts w:ascii="Times New Roman" w:hAnsi="Times New Roman" w:cs="Times New Roman"/>
        </w:rPr>
      </w:pPr>
      <w:r w:rsidRPr="0007020E">
        <w:rPr>
          <w:rStyle w:val="normaltextrun"/>
          <w:rFonts w:ascii="Times New Roman" w:hAnsi="Times New Roman" w:cs="Times New Roman"/>
        </w:rPr>
        <w:t>oskuste pakti ühine edendamine meetodina, mille abil piirkonnad saavad luua kohaliku elanikkonna täiendus- ja ümberõppeks partnerlusi tööstussektori ja koolitusasutustega;</w:t>
      </w:r>
    </w:p>
    <w:p w:rsidR="000A7400" w:rsidRPr="0007020E" w:rsidRDefault="000A7400" w:rsidP="0007020E">
      <w:pPr>
        <w:pStyle w:val="ListParagraph"/>
        <w:spacing w:after="0" w:line="288" w:lineRule="auto"/>
        <w:ind w:left="360"/>
        <w:jc w:val="both"/>
        <w:rPr>
          <w:rStyle w:val="normaltextrun"/>
          <w:rFonts w:ascii="Times New Roman" w:hAnsi="Times New Roman" w:cs="Times New Roman"/>
        </w:rPr>
      </w:pPr>
    </w:p>
    <w:p w:rsidR="00421A56" w:rsidRPr="0007020E" w:rsidRDefault="000A7400" w:rsidP="0007020E">
      <w:pPr>
        <w:pStyle w:val="ListParagraph"/>
        <w:numPr>
          <w:ilvl w:val="0"/>
          <w:numId w:val="32"/>
        </w:numPr>
        <w:spacing w:after="0" w:line="288" w:lineRule="auto"/>
        <w:jc w:val="both"/>
        <w:rPr>
          <w:rStyle w:val="normaltextrun"/>
          <w:rFonts w:ascii="Times New Roman" w:hAnsi="Times New Roman" w:cs="Times New Roman"/>
        </w:rPr>
      </w:pPr>
      <w:r w:rsidRPr="0007020E">
        <w:rPr>
          <w:rStyle w:val="normaltextrun"/>
          <w:rFonts w:ascii="Times New Roman" w:hAnsi="Times New Roman" w:cs="Times New Roman"/>
        </w:rPr>
        <w:t xml:space="preserve">korraldada koos tööhõive, sotsiaalküsimuste ja sotsiaalse kaasatuse peadirektoraadiga kõrgetasemeline konverents õpipoisiõppe teemadel „Piirkondade ja linnade roll kvaliteetse </w:t>
      </w:r>
      <w:r w:rsidRPr="0007020E">
        <w:rPr>
          <w:rStyle w:val="normaltextrun"/>
          <w:rFonts w:ascii="Times New Roman" w:hAnsi="Times New Roman" w:cs="Times New Roman"/>
        </w:rPr>
        <w:lastRenderedPageBreak/>
        <w:t>õpipoisiõppe pakkumisel“, mis COVID-19 tõttu on kavas läbi viia 2021. aasta kevadel. Enne põhikonverentsi on kavas ka ettevalmistavad veebipõhised üritused:</w:t>
      </w:r>
    </w:p>
    <w:p w:rsidR="000A7400" w:rsidRPr="0007020E" w:rsidRDefault="000A7400" w:rsidP="0007020E">
      <w:pPr>
        <w:jc w:val="both"/>
        <w:rPr>
          <w:rStyle w:val="normaltextrun"/>
          <w:rFonts w:ascii="Times New Roman" w:hAnsi="Times New Roman" w:cs="Times New Roma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821278" w:rsidRPr="0007020E">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b/>
                <w:bCs/>
                <w:color w:val="FFFFFF"/>
              </w:rPr>
            </w:pPr>
            <w:r w:rsidRPr="0007020E">
              <w:rPr>
                <w:rFonts w:ascii="Times New Roman" w:hAnsi="Times New Roman" w:cs="Times New Roman"/>
                <w:b/>
                <w:bCs/>
                <w:color w:val="FFFFFF"/>
              </w:rPr>
              <w:t>Kuupäev</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b/>
                <w:bCs/>
                <w:color w:val="FFFFFF"/>
              </w:rPr>
            </w:pPr>
            <w:r w:rsidRPr="0007020E">
              <w:rPr>
                <w:rFonts w:ascii="Times New Roman" w:hAnsi="Times New Roman" w:cs="Times New Roman"/>
                <w:b/>
                <w:bCs/>
                <w:color w:val="FFFFFF"/>
              </w:rPr>
              <w:t>Veebiseminarid/konverentsid</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b/>
                <w:bCs/>
                <w:color w:val="FFFFFF"/>
              </w:rPr>
            </w:pPr>
            <w:r w:rsidRPr="0007020E">
              <w:rPr>
                <w:rFonts w:ascii="Times New Roman" w:hAnsi="Times New Roman" w:cs="Times New Roman"/>
                <w:b/>
                <w:bCs/>
                <w:color w:val="FFFFFF"/>
              </w:rPr>
              <w:t>Teema</w:t>
            </w:r>
          </w:p>
        </w:tc>
      </w:tr>
      <w:tr w:rsidR="00821278" w:rsidRPr="0007020E">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Teisipäev, 29. september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 xml:space="preserve">Esimene veebiseminar: „COVID-19 mõju õpipoisiõppele. </w:t>
            </w:r>
            <w:r w:rsidRPr="0007020E">
              <w:rPr>
                <w:rFonts w:ascii="Times New Roman" w:hAnsi="Times New Roman" w:cs="Times New Roman"/>
                <w:i/>
                <w:iCs/>
              </w:rPr>
              <w:t xml:space="preserve"> </w:t>
            </w:r>
            <w:r w:rsidRPr="0007020E">
              <w:rPr>
                <w:rFonts w:ascii="Times New Roman" w:hAnsi="Times New Roman" w:cs="Times New Roman"/>
              </w:rPr>
              <w:t xml:space="preserve">Piirkondade ja linnade roll“.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Fookuses COVID-19-le reageerimine</w:t>
            </w:r>
          </w:p>
        </w:tc>
      </w:tr>
      <w:tr w:rsidR="00821278" w:rsidRPr="0007020E">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Jaanuar/veebruar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Teine veebiseminar: „Kaksiküleminek: linnade roll kvaliteetse õpipoisiõppe elluviimisel“</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Fookuses kaksiküleminek: rohe- ja digipööre</w:t>
            </w:r>
          </w:p>
        </w:tc>
      </w:tr>
      <w:tr w:rsidR="00821278" w:rsidRPr="0007020E">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Märts/aprill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Kolmas veebiseminar: „Kaksiküleminek: piirkondade roll kvaliteetse õpipoisiõppe elluviimisel“</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 xml:space="preserve">Fookuses kaksiküleminek: rohe- ja digipööre </w:t>
            </w:r>
          </w:p>
        </w:tc>
      </w:tr>
      <w:tr w:rsidR="00821278" w:rsidRPr="0007020E">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3.–4. juuni 2021 (kinnitamisel)</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 xml:space="preserve">Põhikonverents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kinnitamisel</w:t>
            </w:r>
          </w:p>
        </w:tc>
      </w:tr>
      <w:tr w:rsidR="00821278" w:rsidRPr="0007020E">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kinnitamisel</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Järelkohtumised (veebipõhised)</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07020E" w:rsidRDefault="000A7400" w:rsidP="0007020E">
            <w:pPr>
              <w:jc w:val="both"/>
              <w:rPr>
                <w:rFonts w:ascii="Times New Roman" w:hAnsi="Times New Roman" w:cs="Times New Roman"/>
              </w:rPr>
            </w:pPr>
            <w:r w:rsidRPr="0007020E">
              <w:rPr>
                <w:rFonts w:ascii="Times New Roman" w:hAnsi="Times New Roman" w:cs="Times New Roman"/>
              </w:rPr>
              <w:t>kinnitamisel</w:t>
            </w:r>
          </w:p>
        </w:tc>
      </w:tr>
    </w:tbl>
    <w:p w:rsidR="002D435E" w:rsidRPr="0007020E" w:rsidRDefault="002D435E" w:rsidP="0007020E">
      <w:pPr>
        <w:pStyle w:val="ListParagraph"/>
        <w:spacing w:after="0" w:line="288" w:lineRule="auto"/>
        <w:ind w:left="360"/>
        <w:jc w:val="both"/>
        <w:rPr>
          <w:rStyle w:val="normaltextrun"/>
          <w:rFonts w:ascii="Times New Roman" w:hAnsi="Times New Roman" w:cs="Times New Roman"/>
        </w:rPr>
      </w:pPr>
    </w:p>
    <w:p w:rsidR="002D435E" w:rsidRPr="0007020E" w:rsidRDefault="00151730" w:rsidP="0007020E">
      <w:pPr>
        <w:pStyle w:val="ListParagraph"/>
        <w:numPr>
          <w:ilvl w:val="0"/>
          <w:numId w:val="32"/>
        </w:numPr>
        <w:spacing w:after="0" w:line="288" w:lineRule="auto"/>
        <w:jc w:val="both"/>
        <w:rPr>
          <w:rFonts w:ascii="Times New Roman" w:hAnsi="Times New Roman" w:cs="Times New Roman"/>
        </w:rPr>
      </w:pPr>
      <w:r w:rsidRPr="0007020E">
        <w:rPr>
          <w:rFonts w:ascii="Times New Roman" w:hAnsi="Times New Roman" w:cs="Times New Roman"/>
        </w:rPr>
        <w:t xml:space="preserve">täiendavat koostööd tehakse jätkusuutlikku konkurentsivõimet, sotsiaalset õiglust ja vastupanuvõimet toetava Euroopa oskuste tegevuskava käsitleva arvamuse koostamise raames (raportöör Csaba Borboly, RO/EPP); </w:t>
      </w:r>
    </w:p>
    <w:p w:rsidR="00F165DD" w:rsidRPr="0007020E" w:rsidRDefault="00F165DD" w:rsidP="0007020E">
      <w:pPr>
        <w:pStyle w:val="ListParagraph"/>
        <w:spacing w:after="0" w:line="288" w:lineRule="auto"/>
        <w:ind w:left="360"/>
        <w:jc w:val="both"/>
        <w:rPr>
          <w:rFonts w:ascii="Times New Roman" w:hAnsi="Times New Roman" w:cs="Times New Roman"/>
        </w:rPr>
      </w:pPr>
    </w:p>
    <w:p w:rsidR="00176CAE" w:rsidRPr="0007020E" w:rsidRDefault="00151730" w:rsidP="0007020E">
      <w:pPr>
        <w:pStyle w:val="ListParagraph"/>
        <w:numPr>
          <w:ilvl w:val="0"/>
          <w:numId w:val="32"/>
        </w:numPr>
        <w:spacing w:after="0" w:line="288" w:lineRule="auto"/>
        <w:jc w:val="both"/>
        <w:rPr>
          <w:rFonts w:ascii="Times New Roman" w:hAnsi="Times New Roman" w:cs="Times New Roman"/>
        </w:rPr>
      </w:pPr>
      <w:r w:rsidRPr="0007020E">
        <w:rPr>
          <w:rFonts w:ascii="Times New Roman" w:hAnsi="Times New Roman" w:cs="Times New Roman"/>
        </w:rPr>
        <w:t>Euroopa Õpipoisiõppe Liidu alane koostöö. Komitee ja Euroopa Õpipoisiõppe Liit võiksid jätkata tööd ühega uuendatud Euroopa Õpipoisiõppe Liidu prioriteetidest: „ärgitada kohalikke ja piirkondlikke omavalitsusi toetama õpipoisiõpet kohalikes ettevõtetes“.  Üks näide on uue linnade õpipoisiõppe võrgustiku osalemine Euroopa Õpipoisiõppe Liidu ja komitee ühistel veebiseminaridel. Üks võrgustiku tähtsamatest eesmärkidest on suurendada teadlikkust linnade potentsiaalist õpipoisiõppe toetamisel. Linnad saavad võrgustiku kaudu üksteiselt õppida, koostööd teha, vahendeid välja töötada, häid tavasid jagada ning tehnilist ja poliitikaalast abi anda ja vastu võtta.   </w:t>
      </w:r>
    </w:p>
    <w:p w:rsidR="00C34231" w:rsidRPr="0007020E" w:rsidRDefault="00C34231" w:rsidP="0007020E">
      <w:pPr>
        <w:jc w:val="both"/>
        <w:rPr>
          <w:rFonts w:ascii="Times New Roman" w:eastAsiaTheme="majorEastAsia" w:hAnsi="Times New Roman" w:cs="Times New Roman"/>
          <w:lang w:val="en-GB"/>
        </w:rPr>
      </w:pPr>
    </w:p>
    <w:p w:rsidR="003D64D4" w:rsidRPr="0007020E" w:rsidRDefault="00025C0A" w:rsidP="0007020E">
      <w:pPr>
        <w:pStyle w:val="Heading2"/>
        <w:keepNext/>
        <w:keepLines/>
        <w:ind w:left="567" w:hanging="567"/>
        <w:jc w:val="both"/>
        <w:rPr>
          <w:rFonts w:ascii="Times New Roman" w:eastAsiaTheme="majorEastAsia" w:hAnsi="Times New Roman" w:cs="Times New Roman"/>
          <w:b/>
          <w:color w:val="365F91" w:themeColor="accent1" w:themeShade="BF"/>
          <w:sz w:val="24"/>
          <w:szCs w:val="32"/>
        </w:rPr>
      </w:pPr>
      <w:r w:rsidRPr="0007020E">
        <w:rPr>
          <w:rFonts w:ascii="Times New Roman" w:hAnsi="Times New Roman" w:cs="Times New Roman"/>
          <w:b/>
          <w:sz w:val="24"/>
          <w:szCs w:val="24"/>
        </w:rPr>
        <w:t xml:space="preserve">2.4. </w:t>
      </w:r>
      <w:r w:rsidRPr="0007020E">
        <w:rPr>
          <w:rFonts w:ascii="Times New Roman" w:hAnsi="Times New Roman" w:cs="Times New Roman"/>
          <w:b/>
          <w:sz w:val="24"/>
          <w:szCs w:val="24"/>
        </w:rPr>
        <w:tab/>
      </w:r>
      <w:r w:rsidRPr="0007020E">
        <w:rPr>
          <w:rFonts w:ascii="Times New Roman" w:hAnsi="Times New Roman" w:cs="Times New Roman"/>
          <w:b/>
          <w:sz w:val="24"/>
          <w:szCs w:val="32"/>
        </w:rPr>
        <w:t>ELi toetatud Euroopa kohalike töömesside kontseptsioon kohaliku tööhõive toetamiseks</w:t>
      </w:r>
    </w:p>
    <w:p w:rsidR="00CE5349" w:rsidRPr="0007020E" w:rsidRDefault="00CE5349" w:rsidP="0007020E">
      <w:pPr>
        <w:keepNext/>
        <w:keepLines/>
        <w:jc w:val="both"/>
        <w:rPr>
          <w:rFonts w:ascii="Times New Roman" w:hAnsi="Times New Roman" w:cs="Times New Roman"/>
          <w:lang w:val="en-GB"/>
        </w:rPr>
      </w:pPr>
    </w:p>
    <w:p w:rsidR="00CC2877" w:rsidRPr="0007020E" w:rsidRDefault="00394636" w:rsidP="0007020E">
      <w:pPr>
        <w:keepNext/>
        <w:keepLines/>
        <w:jc w:val="both"/>
        <w:rPr>
          <w:rFonts w:ascii="Times New Roman" w:hAnsi="Times New Roman" w:cs="Times New Roman"/>
        </w:rPr>
      </w:pPr>
      <w:r w:rsidRPr="0007020E">
        <w:rPr>
          <w:rFonts w:ascii="Times New Roman" w:hAnsi="Times New Roman" w:cs="Times New Roman"/>
        </w:rPr>
        <w:t xml:space="preserve">Töökohtade ja oskuste paremaks ühitamiseks lepiti kokku, et ühiselt uuritakse võimalusi korraldada Euroopa kohalikke töömesse kõikjal Euroopas. Thessaloniki võib pakkuda end esimesel võimalusel sellist Euroopa kohalikku töömessi korraldama. See üritus võib olla mudeliks, mille põhjal korraldada samalaadseid üritusi teistes ELi piirkondades. Komitee ning tööhõive, sotsiaalküsimuste ja sotsiaalse kaasatuse peadirektoraat teevad koostööd ürituse kontseptsiooni väljatöötamisel ja selle elluviimisel. See hõlmab ürituse ülesehitust, partnereid, rahastamist jms, milles lepitakse eraldi kokku. </w:t>
      </w:r>
    </w:p>
    <w:p w:rsidR="00FE1A83" w:rsidRPr="0007020E" w:rsidRDefault="00FE1A83" w:rsidP="0007020E">
      <w:pPr>
        <w:jc w:val="both"/>
        <w:rPr>
          <w:rFonts w:ascii="Times New Roman" w:hAnsi="Times New Roman" w:cs="Times New Roman"/>
          <w:lang w:val="en-GB"/>
        </w:rPr>
      </w:pPr>
    </w:p>
    <w:p w:rsidR="00DC5206" w:rsidRPr="0007020E" w:rsidRDefault="00455FAA" w:rsidP="0007020E">
      <w:pPr>
        <w:pStyle w:val="Heading3"/>
        <w:keepNext/>
        <w:keepLines/>
        <w:jc w:val="both"/>
        <w:rPr>
          <w:rFonts w:ascii="Times New Roman" w:hAnsi="Times New Roman" w:cs="Times New Roman"/>
          <w:color w:val="365F91" w:themeColor="accent1" w:themeShade="BF"/>
        </w:rPr>
      </w:pPr>
      <w:r w:rsidRPr="0007020E">
        <w:rPr>
          <w:rFonts w:ascii="Times New Roman" w:hAnsi="Times New Roman" w:cs="Times New Roman"/>
          <w:b/>
          <w:sz w:val="24"/>
          <w:szCs w:val="24"/>
        </w:rPr>
        <w:lastRenderedPageBreak/>
        <w:t>2.4.1.</w:t>
      </w:r>
      <w:r w:rsidRPr="0007020E">
        <w:rPr>
          <w:rFonts w:ascii="Times New Roman" w:hAnsi="Times New Roman" w:cs="Times New Roman"/>
          <w:b/>
          <w:sz w:val="24"/>
          <w:szCs w:val="24"/>
        </w:rPr>
        <w:tab/>
        <w:t>Mis on juba olemas?</w:t>
      </w:r>
    </w:p>
    <w:p w:rsidR="00CC2877" w:rsidRPr="0007020E" w:rsidRDefault="00CC2877" w:rsidP="0007020E">
      <w:pPr>
        <w:keepNext/>
        <w:keepLines/>
        <w:jc w:val="both"/>
        <w:rPr>
          <w:rFonts w:ascii="Times New Roman" w:hAnsi="Times New Roman" w:cs="Times New Roman"/>
          <w:lang w:val="en-GB"/>
        </w:rPr>
      </w:pPr>
    </w:p>
    <w:p w:rsidR="00CC2877" w:rsidRPr="0007020E" w:rsidRDefault="00DF7306" w:rsidP="0007020E">
      <w:pPr>
        <w:pStyle w:val="ListParagraph"/>
        <w:keepNext/>
        <w:keepLines/>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Euroopa tööturuasutuste võrgustik (EURES) viib juba läbi Euroopa tööhõivepäevi, millega edendatakse tööjõu liikuvust ELis, viies kandidaatide oskused kokku teistes liikmesriikides asuvate tööandjate vajadustega (selliste liikuvuse toetamiseks korraldatavate ürituste kordamine ei annaks lisaväärtust).</w:t>
      </w:r>
    </w:p>
    <w:p w:rsidR="00CC2877" w:rsidRPr="0007020E" w:rsidRDefault="00CC2877" w:rsidP="0007020E">
      <w:pPr>
        <w:pStyle w:val="ListParagraph"/>
        <w:spacing w:after="0" w:line="288" w:lineRule="auto"/>
        <w:ind w:left="360"/>
        <w:jc w:val="both"/>
        <w:rPr>
          <w:rFonts w:ascii="Times New Roman" w:hAnsi="Times New Roman" w:cs="Times New Roman"/>
        </w:rPr>
      </w:pPr>
    </w:p>
    <w:p w:rsidR="00CC2877" w:rsidRPr="0007020E" w:rsidRDefault="00501E02"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Mitme ELi projekti eesmärk on võidelda töötuse vastu, samal eesmärgil on loodud ka riiklikke programme.</w:t>
      </w:r>
    </w:p>
    <w:p w:rsidR="00CC2877" w:rsidRPr="0007020E" w:rsidRDefault="00CC2877" w:rsidP="0007020E">
      <w:pPr>
        <w:pStyle w:val="ListParagraph"/>
        <w:spacing w:after="0" w:line="288" w:lineRule="auto"/>
        <w:ind w:left="360"/>
        <w:jc w:val="both"/>
        <w:rPr>
          <w:rFonts w:ascii="Times New Roman" w:hAnsi="Times New Roman" w:cs="Times New Roman"/>
        </w:rPr>
      </w:pPr>
    </w:p>
    <w:p w:rsidR="00CC2877" w:rsidRPr="0007020E" w:rsidRDefault="002867F1"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Euroopa Sotsiaalfond ja Euroopa Sotsiaalfond+ on tulevikus väga oluline kohalike tööhõivestrateegiate rahastamise ning koolitamise ja täiendus- ja ümberõppe edendamise vahend.</w:t>
      </w:r>
    </w:p>
    <w:p w:rsidR="00CC2877" w:rsidRPr="0007020E" w:rsidRDefault="00CC2877" w:rsidP="0007020E">
      <w:pPr>
        <w:pStyle w:val="ListParagraph"/>
        <w:spacing w:after="0" w:line="288" w:lineRule="auto"/>
        <w:ind w:left="360"/>
        <w:jc w:val="both"/>
        <w:rPr>
          <w:rFonts w:ascii="Times New Roman" w:hAnsi="Times New Roman" w:cs="Times New Roman"/>
        </w:rPr>
      </w:pPr>
    </w:p>
    <w:p w:rsidR="00CC2877" w:rsidRPr="0007020E" w:rsidRDefault="00DF7306" w:rsidP="0007020E">
      <w:pPr>
        <w:numPr>
          <w:ilvl w:val="0"/>
          <w:numId w:val="35"/>
        </w:numPr>
        <w:jc w:val="both"/>
        <w:rPr>
          <w:rFonts w:ascii="Times New Roman" w:eastAsia="Times New Roman" w:hAnsi="Times New Roman" w:cs="Times New Roman"/>
          <w:sz w:val="24"/>
          <w:szCs w:val="24"/>
        </w:rPr>
      </w:pPr>
      <w:r w:rsidRPr="0007020E">
        <w:rPr>
          <w:rFonts w:ascii="Times New Roman" w:hAnsi="Times New Roman" w:cs="Times New Roman"/>
        </w:rPr>
        <w:t>Euroopa tööhõive ja sotsiaalse innovatsiooni programmil (2014–2020) on kolm tegevussuunda (PROGRESS tööhõive ja sotsiaalpoliitika ajakohastamiseks, EURES tööalase liikuvuse toetamiseks ning mikrorahastamise ja sotsiaalse ettevõtluse tegevussuund, mis pakub haavatavatele elanikkonnarühmadele ja ettevõtetele mikrolaene ja mikrokrediiti ning toetab sotsiaalset ettevõtlust). InvestEU hakkab alates 2021. aastast pakkuma samalaadseid võimalusi.</w:t>
      </w:r>
    </w:p>
    <w:p w:rsidR="00FE1A83" w:rsidRPr="0007020E" w:rsidRDefault="00FE1A83" w:rsidP="0007020E">
      <w:pPr>
        <w:jc w:val="both"/>
        <w:rPr>
          <w:rFonts w:ascii="Times New Roman" w:hAnsi="Times New Roman" w:cs="Times New Roman"/>
          <w:lang w:val="en-GB"/>
        </w:rPr>
      </w:pPr>
    </w:p>
    <w:p w:rsidR="00CC2877" w:rsidRPr="0007020E" w:rsidRDefault="00455FAA" w:rsidP="0007020E">
      <w:pPr>
        <w:pStyle w:val="Heading3"/>
        <w:jc w:val="both"/>
        <w:rPr>
          <w:rFonts w:ascii="Times New Roman" w:eastAsiaTheme="majorEastAsia" w:hAnsi="Times New Roman" w:cs="Times New Roman"/>
          <w:b/>
          <w:color w:val="365F91" w:themeColor="accent1" w:themeShade="BF"/>
          <w:sz w:val="24"/>
          <w:szCs w:val="32"/>
        </w:rPr>
      </w:pPr>
      <w:r w:rsidRPr="0007020E">
        <w:rPr>
          <w:rFonts w:ascii="Times New Roman" w:hAnsi="Times New Roman" w:cs="Times New Roman"/>
          <w:b/>
          <w:sz w:val="24"/>
          <w:szCs w:val="24"/>
        </w:rPr>
        <w:t>2.4.2.</w:t>
      </w:r>
      <w:r w:rsidRPr="0007020E">
        <w:rPr>
          <w:rFonts w:ascii="Times New Roman" w:hAnsi="Times New Roman" w:cs="Times New Roman"/>
          <w:b/>
          <w:sz w:val="24"/>
          <w:szCs w:val="24"/>
        </w:rPr>
        <w:tab/>
      </w:r>
      <w:r w:rsidRPr="0007020E">
        <w:rPr>
          <w:rFonts w:ascii="Times New Roman" w:hAnsi="Times New Roman" w:cs="Times New Roman"/>
          <w:b/>
          <w:sz w:val="24"/>
          <w:szCs w:val="32"/>
        </w:rPr>
        <w:t>Euroopa kohalike töömesside lisaväärtus</w:t>
      </w:r>
    </w:p>
    <w:p w:rsidR="00CC2877" w:rsidRPr="0007020E" w:rsidRDefault="00CC2877" w:rsidP="0007020E">
      <w:pPr>
        <w:keepNext/>
        <w:jc w:val="both"/>
        <w:rPr>
          <w:rFonts w:ascii="Times New Roman" w:hAnsi="Times New Roman" w:cs="Times New Roman"/>
          <w:lang w:val="en-GB"/>
        </w:rPr>
      </w:pPr>
    </w:p>
    <w:p w:rsidR="00CC2877" w:rsidRPr="0007020E" w:rsidRDefault="00CC2877" w:rsidP="0007020E">
      <w:pPr>
        <w:pStyle w:val="ListParagraph"/>
        <w:spacing w:after="0" w:line="288" w:lineRule="auto"/>
        <w:ind w:left="0"/>
        <w:jc w:val="both"/>
        <w:rPr>
          <w:rFonts w:ascii="Times New Roman" w:hAnsi="Times New Roman" w:cs="Times New Roman"/>
        </w:rPr>
      </w:pPr>
      <w:r w:rsidRPr="0007020E">
        <w:rPr>
          <w:rFonts w:ascii="Times New Roman" w:hAnsi="Times New Roman" w:cs="Times New Roman"/>
        </w:rPr>
        <w:t>Pidades silmas juba olemasolevaid ELi ja teisi algatusi, oleks Euroopa kohalike töömesside spetsiifiline lisaväärtus</w:t>
      </w:r>
    </w:p>
    <w:p w:rsidR="00100433" w:rsidRPr="0007020E" w:rsidRDefault="00100433" w:rsidP="0007020E">
      <w:pPr>
        <w:pStyle w:val="ListParagraph"/>
        <w:spacing w:after="0" w:line="288" w:lineRule="auto"/>
        <w:ind w:left="0"/>
        <w:jc w:val="both"/>
        <w:rPr>
          <w:rFonts w:ascii="Times New Roman" w:hAnsi="Times New Roman" w:cs="Times New Roman"/>
        </w:rPr>
      </w:pPr>
    </w:p>
    <w:p w:rsidR="00100433" w:rsidRPr="0007020E" w:rsidRDefault="00100433"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demonstreerida olemasolevaid tööotsijatele kohalikul, riiklikul ja Euroopa tasandil pakutavaid ELi teenuseid;</w:t>
      </w:r>
    </w:p>
    <w:p w:rsidR="0002399B" w:rsidRPr="0007020E" w:rsidRDefault="0002399B"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esitleda kohaliku ja Euroopa tasandi uusi oskuste ja tööhõivetrende;</w:t>
      </w:r>
    </w:p>
    <w:p w:rsidR="00100433" w:rsidRPr="0007020E" w:rsidRDefault="00100433"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esitleda ELi kohalikke ja piirkondlikke tööhõivestrateegiaid toetavaid kavasid, pidades silmas tulevaste Euroopa Sotsiaalfondi programmide käimasolevat kavandamist;</w:t>
      </w:r>
    </w:p>
    <w:p w:rsidR="00100433" w:rsidRPr="0007020E" w:rsidRDefault="00100433"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 xml:space="preserve">näidata noorte seisukohast lähtudes erinevate ELi poliitikasuundade ja kavade seoseid; </w:t>
      </w:r>
    </w:p>
    <w:p w:rsidR="00C97045" w:rsidRPr="0007020E" w:rsidRDefault="00100433"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anda alus sotsiaalseks dialoogiks kodanikega ELi sotsiaalse mõõtme üle ning selle üle, mida see tähendab kohaliku ja piirkondliku tööhõive jaoks; ja</w:t>
      </w:r>
    </w:p>
    <w:p w:rsidR="00100433" w:rsidRPr="0007020E" w:rsidRDefault="00C97045" w:rsidP="0007020E">
      <w:pPr>
        <w:pStyle w:val="ListParagraph"/>
        <w:numPr>
          <w:ilvl w:val="0"/>
          <w:numId w:val="35"/>
        </w:numPr>
        <w:spacing w:after="0" w:line="288" w:lineRule="auto"/>
        <w:jc w:val="both"/>
        <w:rPr>
          <w:rFonts w:ascii="Times New Roman" w:hAnsi="Times New Roman" w:cs="Times New Roman"/>
        </w:rPr>
      </w:pPr>
      <w:r w:rsidRPr="0007020E">
        <w:rPr>
          <w:rFonts w:ascii="Times New Roman" w:hAnsi="Times New Roman" w:cs="Times New Roman"/>
        </w:rPr>
        <w:t>toetada kohapeal töökohtade ja oskuste ühitamist ELi sellisteks kohalikeks üritusteks mõeldud rahaliste vahendite abil.</w:t>
      </w:r>
    </w:p>
    <w:p w:rsidR="00FE1A83" w:rsidRPr="0007020E" w:rsidRDefault="00FE1A83" w:rsidP="0007020E">
      <w:pPr>
        <w:jc w:val="both"/>
        <w:rPr>
          <w:rFonts w:ascii="Times New Roman" w:hAnsi="Times New Roman" w:cs="Times New Roman"/>
          <w:lang w:val="en-GB"/>
        </w:rPr>
      </w:pPr>
    </w:p>
    <w:p w:rsidR="00F165DD" w:rsidRPr="0007020E" w:rsidRDefault="001A2D75" w:rsidP="0007020E">
      <w:pPr>
        <w:jc w:val="both"/>
        <w:rPr>
          <w:rFonts w:ascii="Times New Roman" w:hAnsi="Times New Roman" w:cs="Times New Roman"/>
        </w:rPr>
      </w:pPr>
      <w:r w:rsidRPr="0007020E">
        <w:rPr>
          <w:rFonts w:ascii="Times New Roman" w:hAnsi="Times New Roman" w:cs="Times New Roman"/>
        </w:rPr>
        <w:t>Praegu COVID-19 pandeemiast taastumiseks tehtavate jõupingutuste ajal on tähtis selliseid messe korraldada. Seepärast on oluline alustada sotsiaalpartnerite juhtivate esindajate, üritusi võõrustavate komitee liikmete ning ELi esindajatega poliitilist dialoogi kontseptsioonide ja strateegiate üle, mille abil tegeleda praegu tööhõivevaldkonna ees seisvate probleemidega.</w:t>
      </w:r>
    </w:p>
    <w:p w:rsidR="00FE1A83" w:rsidRPr="0007020E" w:rsidRDefault="00FE1A83" w:rsidP="0007020E">
      <w:pPr>
        <w:jc w:val="both"/>
        <w:rPr>
          <w:rFonts w:ascii="Times New Roman" w:hAnsi="Times New Roman" w:cs="Times New Roman"/>
          <w:lang w:val="en-GB"/>
        </w:rPr>
      </w:pPr>
    </w:p>
    <w:p w:rsidR="00100433" w:rsidRPr="0007020E" w:rsidRDefault="00455FAA" w:rsidP="0007020E">
      <w:pPr>
        <w:pStyle w:val="Heading3"/>
        <w:keepNext/>
        <w:keepLines/>
        <w:ind w:left="709" w:hanging="709"/>
        <w:jc w:val="both"/>
        <w:rPr>
          <w:rFonts w:ascii="Times New Roman" w:eastAsiaTheme="majorEastAsia" w:hAnsi="Times New Roman" w:cs="Times New Roman"/>
          <w:b/>
          <w:color w:val="365F91" w:themeColor="accent1" w:themeShade="BF"/>
          <w:sz w:val="24"/>
          <w:szCs w:val="32"/>
        </w:rPr>
      </w:pPr>
      <w:r w:rsidRPr="0007020E">
        <w:rPr>
          <w:rFonts w:ascii="Times New Roman" w:hAnsi="Times New Roman" w:cs="Times New Roman"/>
          <w:b/>
          <w:sz w:val="24"/>
          <w:szCs w:val="24"/>
        </w:rPr>
        <w:lastRenderedPageBreak/>
        <w:t>2.4.3.</w:t>
      </w:r>
      <w:r w:rsidRPr="0007020E">
        <w:rPr>
          <w:rFonts w:ascii="Times New Roman" w:hAnsi="Times New Roman" w:cs="Times New Roman"/>
          <w:b/>
          <w:sz w:val="24"/>
          <w:szCs w:val="24"/>
        </w:rPr>
        <w:tab/>
      </w:r>
      <w:r w:rsidRPr="0007020E">
        <w:rPr>
          <w:rFonts w:ascii="Times New Roman" w:hAnsi="Times New Roman" w:cs="Times New Roman"/>
          <w:b/>
          <w:sz w:val="24"/>
          <w:szCs w:val="32"/>
        </w:rPr>
        <w:t>Euroopa kohalike töömesside sihtrühm</w:t>
      </w:r>
    </w:p>
    <w:p w:rsidR="0002399B" w:rsidRPr="0007020E" w:rsidRDefault="0002399B" w:rsidP="0007020E">
      <w:pPr>
        <w:keepNext/>
        <w:keepLines/>
        <w:jc w:val="both"/>
        <w:rPr>
          <w:rFonts w:ascii="Times New Roman" w:hAnsi="Times New Roman" w:cs="Times New Roman"/>
          <w:lang w:val="en-GB"/>
        </w:rPr>
      </w:pPr>
    </w:p>
    <w:p w:rsidR="0002399B" w:rsidRPr="0007020E" w:rsidRDefault="0002399B" w:rsidP="0007020E">
      <w:pPr>
        <w:keepNext/>
        <w:keepLines/>
        <w:jc w:val="both"/>
        <w:rPr>
          <w:rFonts w:ascii="Times New Roman" w:hAnsi="Times New Roman" w:cs="Times New Roman"/>
        </w:rPr>
      </w:pPr>
      <w:r w:rsidRPr="0007020E">
        <w:rPr>
          <w:rFonts w:ascii="Times New Roman" w:hAnsi="Times New Roman" w:cs="Times New Roman"/>
        </w:rPr>
        <w:t>Euroopa kohalike töömesside sihtrühma võivad kuuluda:</w:t>
      </w:r>
    </w:p>
    <w:p w:rsidR="0002399B" w:rsidRPr="0007020E" w:rsidRDefault="0002399B" w:rsidP="0007020E">
      <w:pPr>
        <w:jc w:val="both"/>
        <w:rPr>
          <w:rFonts w:ascii="Times New Roman" w:hAnsi="Times New Roman" w:cs="Times New Roman"/>
          <w:lang w:val="en-GB"/>
        </w:rPr>
      </w:pPr>
    </w:p>
    <w:p w:rsidR="0002399B" w:rsidRPr="0007020E" w:rsidRDefault="0002399B"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tööotsijad, eelkõige üliõpilased ja hiljuti kooli lõpetanud;</w:t>
      </w:r>
    </w:p>
    <w:p w:rsidR="0002399B" w:rsidRPr="0007020E" w:rsidRDefault="0002399B"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kohalikud/piirkondlikud avaliku sektori tööhõiveasutused;</w:t>
      </w:r>
    </w:p>
    <w:p w:rsidR="0002399B" w:rsidRPr="0007020E" w:rsidRDefault="0002399B"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koolitus-, ümberõppe- ja tööhõiveasutused;</w:t>
      </w:r>
    </w:p>
    <w:p w:rsidR="0002399B" w:rsidRPr="0007020E" w:rsidRDefault="0002399B"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sotsiaalpartnerid, haridusasutused;</w:t>
      </w:r>
    </w:p>
    <w:p w:rsidR="0002399B" w:rsidRPr="0007020E" w:rsidRDefault="0002399B"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kohalikud/piirkondlikud omavalitsused ja poliitikud ja</w:t>
      </w:r>
    </w:p>
    <w:p w:rsidR="0002399B" w:rsidRPr="0007020E" w:rsidRDefault="0002399B"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kohalik/piirkondlik meedia.</w:t>
      </w:r>
    </w:p>
    <w:p w:rsidR="00FE1A83" w:rsidRPr="0007020E" w:rsidRDefault="00FE1A83" w:rsidP="0007020E">
      <w:pPr>
        <w:jc w:val="both"/>
        <w:rPr>
          <w:rFonts w:ascii="Times New Roman" w:hAnsi="Times New Roman" w:cs="Times New Roman"/>
          <w:lang w:val="en-GB"/>
        </w:rPr>
      </w:pPr>
    </w:p>
    <w:p w:rsidR="0002399B" w:rsidRPr="0007020E" w:rsidRDefault="00455FAA" w:rsidP="0007020E">
      <w:pPr>
        <w:pStyle w:val="Heading3"/>
        <w:tabs>
          <w:tab w:val="left" w:pos="567"/>
        </w:tabs>
        <w:jc w:val="both"/>
        <w:rPr>
          <w:rFonts w:ascii="Times New Roman" w:hAnsi="Times New Roman" w:cs="Times New Roman"/>
          <w:color w:val="365F91" w:themeColor="accent1" w:themeShade="BF"/>
        </w:rPr>
      </w:pPr>
      <w:r w:rsidRPr="0007020E">
        <w:rPr>
          <w:rFonts w:ascii="Times New Roman" w:hAnsi="Times New Roman" w:cs="Times New Roman"/>
          <w:b/>
          <w:sz w:val="24"/>
          <w:szCs w:val="24"/>
        </w:rPr>
        <w:t>2.4.4.</w:t>
      </w:r>
      <w:r w:rsidRPr="0007020E">
        <w:rPr>
          <w:rFonts w:ascii="Times New Roman" w:hAnsi="Times New Roman" w:cs="Times New Roman"/>
          <w:b/>
          <w:sz w:val="24"/>
          <w:szCs w:val="24"/>
        </w:rPr>
        <w:tab/>
        <w:t>Võimalikud partnerid ja rakendamine</w:t>
      </w:r>
    </w:p>
    <w:p w:rsidR="0002399B" w:rsidRPr="0007020E" w:rsidRDefault="0002399B" w:rsidP="0007020E">
      <w:pPr>
        <w:keepNext/>
        <w:jc w:val="both"/>
        <w:rPr>
          <w:rFonts w:ascii="Times New Roman" w:hAnsi="Times New Roman" w:cs="Times New Roman"/>
          <w:lang w:val="en-GB"/>
        </w:rPr>
      </w:pPr>
    </w:p>
    <w:p w:rsidR="0002399B" w:rsidRPr="0007020E" w:rsidRDefault="00E0617C" w:rsidP="0007020E">
      <w:pPr>
        <w:jc w:val="both"/>
        <w:rPr>
          <w:rFonts w:ascii="Times New Roman" w:hAnsi="Times New Roman" w:cs="Times New Roman"/>
        </w:rPr>
      </w:pPr>
      <w:r w:rsidRPr="0007020E">
        <w:rPr>
          <w:rFonts w:ascii="Times New Roman" w:hAnsi="Times New Roman" w:cs="Times New Roman"/>
        </w:rPr>
        <w:t>Euroopa kohalik töömess on kõige edukam, kui õiged partnerid kaasatakse algusest peale, et nad saaksid anda tähendusrikka sisendi. Kaasata võib järgmised partnerid:</w:t>
      </w:r>
    </w:p>
    <w:p w:rsidR="0002399B" w:rsidRPr="0007020E" w:rsidRDefault="0002399B" w:rsidP="0007020E">
      <w:pPr>
        <w:jc w:val="both"/>
        <w:rPr>
          <w:rFonts w:ascii="Times New Roman" w:hAnsi="Times New Roman" w:cs="Times New Roman"/>
          <w:lang w:val="en-GB"/>
        </w:rPr>
      </w:pPr>
    </w:p>
    <w:p w:rsidR="0002399B" w:rsidRPr="0007020E" w:rsidRDefault="00E0617C" w:rsidP="0007020E">
      <w:pPr>
        <w:pStyle w:val="ListParagraph"/>
        <w:numPr>
          <w:ilvl w:val="0"/>
          <w:numId w:val="40"/>
        </w:numPr>
        <w:spacing w:after="0" w:line="288" w:lineRule="auto"/>
        <w:jc w:val="both"/>
        <w:rPr>
          <w:rFonts w:ascii="Times New Roman" w:hAnsi="Times New Roman" w:cs="Times New Roman"/>
        </w:rPr>
      </w:pPr>
      <w:r w:rsidRPr="0007020E">
        <w:rPr>
          <w:rFonts w:ascii="Times New Roman" w:hAnsi="Times New Roman" w:cs="Times New Roman"/>
          <w:u w:val="single"/>
        </w:rPr>
        <w:t>Kohalikul tasandil</w:t>
      </w:r>
      <w:r w:rsidRPr="0007020E">
        <w:rPr>
          <w:rFonts w:ascii="Times New Roman" w:hAnsi="Times New Roman" w:cs="Times New Roman"/>
        </w:rPr>
        <w:t>: avaliku sektori asutused, kaubanduskojad ja ettevõtjate ühendused, ametiühingud, kodanikuühiskond, koolid, ülikoolid jms.</w:t>
      </w:r>
    </w:p>
    <w:p w:rsidR="0002399B" w:rsidRPr="0007020E" w:rsidRDefault="00E0617C" w:rsidP="0007020E">
      <w:pPr>
        <w:pStyle w:val="ListParagraph"/>
        <w:numPr>
          <w:ilvl w:val="0"/>
          <w:numId w:val="40"/>
        </w:numPr>
        <w:spacing w:after="0" w:line="288" w:lineRule="auto"/>
        <w:jc w:val="both"/>
        <w:rPr>
          <w:rFonts w:ascii="Times New Roman" w:hAnsi="Times New Roman" w:cs="Times New Roman"/>
        </w:rPr>
      </w:pPr>
      <w:r w:rsidRPr="0007020E">
        <w:rPr>
          <w:rFonts w:ascii="Times New Roman" w:hAnsi="Times New Roman" w:cs="Times New Roman"/>
          <w:u w:val="single"/>
        </w:rPr>
        <w:t>Piirkondlikul tasandil</w:t>
      </w:r>
      <w:r w:rsidRPr="0007020E">
        <w:rPr>
          <w:rFonts w:ascii="Times New Roman" w:hAnsi="Times New Roman" w:cs="Times New Roman"/>
        </w:rPr>
        <w:t>: Euroopa Sotsiaalfondi korraldusasutus, tööturuasutused, piirkondlikud ministeeriumid, piirkondlikud ettevõtjate ühendused, ülikoolid jms.</w:t>
      </w:r>
    </w:p>
    <w:p w:rsidR="0002399B" w:rsidRPr="0007020E" w:rsidRDefault="00E0617C" w:rsidP="0007020E">
      <w:pPr>
        <w:pStyle w:val="ListParagraph"/>
        <w:numPr>
          <w:ilvl w:val="0"/>
          <w:numId w:val="40"/>
        </w:numPr>
        <w:spacing w:after="0" w:line="288" w:lineRule="auto"/>
        <w:jc w:val="both"/>
        <w:rPr>
          <w:rFonts w:ascii="Times New Roman" w:hAnsi="Times New Roman" w:cs="Times New Roman"/>
        </w:rPr>
      </w:pPr>
      <w:r w:rsidRPr="0007020E">
        <w:rPr>
          <w:rFonts w:ascii="Times New Roman" w:hAnsi="Times New Roman" w:cs="Times New Roman"/>
          <w:u w:val="single"/>
        </w:rPr>
        <w:t>Riigi tasandil</w:t>
      </w:r>
      <w:r w:rsidRPr="0007020E">
        <w:rPr>
          <w:rFonts w:ascii="Times New Roman" w:hAnsi="Times New Roman" w:cs="Times New Roman"/>
        </w:rPr>
        <w:t>: riiklikud ministeeriumid, sotsiaalsektori ühendused, ettevõtjate ühendused, koolitusühendused, ülikoolide ühendused jms.</w:t>
      </w:r>
    </w:p>
    <w:p w:rsidR="00256F0C" w:rsidRPr="0007020E" w:rsidRDefault="00E0617C" w:rsidP="0007020E">
      <w:pPr>
        <w:pStyle w:val="ListParagraph"/>
        <w:numPr>
          <w:ilvl w:val="0"/>
          <w:numId w:val="40"/>
        </w:numPr>
        <w:spacing w:after="0" w:line="288" w:lineRule="auto"/>
        <w:jc w:val="both"/>
        <w:rPr>
          <w:rFonts w:ascii="Times New Roman" w:hAnsi="Times New Roman" w:cs="Times New Roman"/>
        </w:rPr>
      </w:pPr>
      <w:r w:rsidRPr="0007020E">
        <w:rPr>
          <w:rFonts w:ascii="Times New Roman" w:hAnsi="Times New Roman" w:cs="Times New Roman"/>
          <w:u w:val="single"/>
        </w:rPr>
        <w:t>ELi tasandil</w:t>
      </w:r>
      <w:r w:rsidRPr="0007020E">
        <w:rPr>
          <w:rFonts w:ascii="Times New Roman" w:hAnsi="Times New Roman" w:cs="Times New Roman"/>
        </w:rPr>
        <w:t>: Euroopa Komisjon (tööhõive, sotsiaalküsimuste ja sotsiaalse kaasatuse peadirektoraadi juhtimisel; teised potentsiaalselt kutsutavad peadirektoraadid ja teenistused: hariduse ja kultuuri peadirektoraat; regionaal- ja linnapoliitika peadirektoraat, struktuurireformide toe peadirektoraat, Teadusuuringute Ühiskeskus), ELi asutused (Euroopa Tööjõuamet, Euroopa Kutseõppe Arenduskeskus, Eurofound), Euroopa Regioonide Komitee liikmed, Euroopa Parlamendi liikmed, sotsiaalpartnerid.</w:t>
      </w:r>
    </w:p>
    <w:p w:rsidR="00FE1A83" w:rsidRPr="0007020E" w:rsidRDefault="00FE1A83" w:rsidP="0007020E">
      <w:pPr>
        <w:jc w:val="both"/>
        <w:rPr>
          <w:rFonts w:ascii="Times New Roman" w:hAnsi="Times New Roman" w:cs="Times New Roman"/>
          <w:lang w:val="en-GB"/>
        </w:rPr>
      </w:pPr>
    </w:p>
    <w:p w:rsidR="00834904" w:rsidRPr="0007020E" w:rsidRDefault="00834904" w:rsidP="0007020E">
      <w:pPr>
        <w:jc w:val="both"/>
        <w:rPr>
          <w:rFonts w:ascii="Times New Roman" w:hAnsi="Times New Roman" w:cs="Times New Roman"/>
        </w:rPr>
      </w:pPr>
      <w:r w:rsidRPr="0007020E">
        <w:rPr>
          <w:rFonts w:ascii="Times New Roman" w:hAnsi="Times New Roman" w:cs="Times New Roman"/>
        </w:rPr>
        <w:t xml:space="preserve">Kuna füüsiliste messide korraldamine on praegu COVID-19 pandeemia tõttu võimatu, tuleb kokkuleppel vastavate EURESe riiklike koordineerimisbüroodega ja neid kaasates kaaluda selliste ürituste nagu </w:t>
      </w:r>
      <w:hyperlink r:id="rId14" w:history="1">
        <w:r w:rsidRPr="0007020E">
          <w:rPr>
            <w:rFonts w:ascii="Times New Roman" w:hAnsi="Times New Roman" w:cs="Times New Roman"/>
          </w:rPr>
          <w:t>veebipõhised Euroopa tööhõivepäevad</w:t>
        </w:r>
      </w:hyperlink>
      <w:r w:rsidRPr="0007020E">
        <w:rPr>
          <w:rFonts w:ascii="Times New Roman" w:hAnsi="Times New Roman" w:cs="Times New Roman"/>
        </w:rPr>
        <w:t xml:space="preserve"> korraldamist.</w:t>
      </w:r>
    </w:p>
    <w:p w:rsidR="003E0FE7" w:rsidRPr="0007020E" w:rsidRDefault="003E0FE7" w:rsidP="0007020E">
      <w:pPr>
        <w:jc w:val="both"/>
        <w:rPr>
          <w:rFonts w:ascii="Times New Roman" w:hAnsi="Times New Roman" w:cs="Times New Roman"/>
          <w:lang w:val="en-GB"/>
        </w:rPr>
      </w:pPr>
    </w:p>
    <w:p w:rsidR="00E6624D" w:rsidRPr="0007020E" w:rsidRDefault="00E6624D" w:rsidP="0007020E">
      <w:pPr>
        <w:jc w:val="both"/>
        <w:rPr>
          <w:rFonts w:ascii="Times New Roman" w:hAnsi="Times New Roman" w:cs="Times New Roman"/>
        </w:rPr>
      </w:pPr>
      <w:r w:rsidRPr="0007020E">
        <w:rPr>
          <w:rFonts w:ascii="Times New Roman" w:hAnsi="Times New Roman" w:cs="Times New Roman"/>
        </w:rPr>
        <w:t>Korraldajate ja partnerite rollid ja kohustused määratletakse eraldiseisvate kokkulepetega.</w:t>
      </w:r>
    </w:p>
    <w:p w:rsidR="00F165DD" w:rsidRPr="0007020E" w:rsidRDefault="00F165DD" w:rsidP="0007020E">
      <w:pPr>
        <w:jc w:val="both"/>
        <w:rPr>
          <w:rFonts w:ascii="Times New Roman" w:hAnsi="Times New Roman" w:cs="Times New Roman"/>
          <w:sz w:val="24"/>
          <w:lang w:val="en-GB"/>
        </w:rPr>
      </w:pPr>
    </w:p>
    <w:p w:rsidR="001A2D75" w:rsidRPr="0007020E" w:rsidRDefault="001A2D75" w:rsidP="0007020E">
      <w:pPr>
        <w:pStyle w:val="ListParagraph"/>
        <w:keepNext/>
        <w:numPr>
          <w:ilvl w:val="2"/>
          <w:numId w:val="22"/>
        </w:numPr>
        <w:spacing w:after="0" w:line="288" w:lineRule="auto"/>
        <w:jc w:val="both"/>
        <w:rPr>
          <w:rFonts w:ascii="Times New Roman" w:hAnsi="Times New Roman" w:cs="Times New Roman"/>
          <w:b/>
          <w:sz w:val="24"/>
        </w:rPr>
      </w:pPr>
      <w:r w:rsidRPr="0007020E">
        <w:rPr>
          <w:rFonts w:ascii="Times New Roman" w:hAnsi="Times New Roman" w:cs="Times New Roman"/>
          <w:b/>
          <w:sz w:val="24"/>
        </w:rPr>
        <w:lastRenderedPageBreak/>
        <w:t>Rahastamine ja muu toetus</w:t>
      </w:r>
    </w:p>
    <w:p w:rsidR="001A2D75" w:rsidRPr="0007020E" w:rsidRDefault="001A2D75" w:rsidP="0007020E">
      <w:pPr>
        <w:keepNext/>
        <w:jc w:val="both"/>
        <w:rPr>
          <w:rFonts w:ascii="Times New Roman" w:hAnsi="Times New Roman" w:cs="Times New Roman"/>
          <w:lang w:val="en-GB"/>
        </w:rPr>
      </w:pPr>
    </w:p>
    <w:p w:rsidR="006C7232" w:rsidRPr="0007020E" w:rsidRDefault="001A2D75" w:rsidP="0007020E">
      <w:pPr>
        <w:jc w:val="both"/>
        <w:rPr>
          <w:rFonts w:ascii="Times New Roman" w:hAnsi="Times New Roman" w:cs="Times New Roman"/>
        </w:rPr>
      </w:pPr>
      <w:r w:rsidRPr="0007020E">
        <w:rPr>
          <w:rFonts w:ascii="Times New Roman" w:hAnsi="Times New Roman" w:cs="Times New Roman"/>
        </w:rPr>
        <w:t>Komitee liikmete võõrustatud Euroopa kohalikke töömesse võiks toetada ELi vahenditest. Euroopa Regioonide Komitee ning tööhõive, sotsiaalküsimuste ja sotsiaalse kaasatuse peadirektoraat uurivad koos sobivaid variante nende ürituste rahaliseks toetamiseks.</w:t>
      </w:r>
    </w:p>
    <w:p w:rsidR="001A2D75" w:rsidRPr="0007020E" w:rsidRDefault="001A2D75" w:rsidP="0007020E">
      <w:pPr>
        <w:jc w:val="both"/>
        <w:rPr>
          <w:rFonts w:ascii="Times New Roman" w:hAnsi="Times New Roman" w:cs="Times New Roman"/>
          <w:lang w:val="en-GB"/>
        </w:rPr>
      </w:pPr>
    </w:p>
    <w:p w:rsidR="001A2D75" w:rsidRPr="0007020E" w:rsidRDefault="008D4711" w:rsidP="0007020E">
      <w:pPr>
        <w:jc w:val="both"/>
        <w:rPr>
          <w:rFonts w:ascii="Times New Roman" w:hAnsi="Times New Roman" w:cs="Times New Roman"/>
        </w:rPr>
      </w:pPr>
      <w:r w:rsidRPr="0007020E">
        <w:rPr>
          <w:rFonts w:ascii="Times New Roman" w:hAnsi="Times New Roman" w:cs="Times New Roman"/>
        </w:rPr>
        <w:t>Muu toetus võiks hõlmata järgmist:</w:t>
      </w:r>
    </w:p>
    <w:p w:rsidR="001A2D75" w:rsidRPr="0007020E" w:rsidRDefault="001A2D75" w:rsidP="0007020E">
      <w:pPr>
        <w:jc w:val="both"/>
        <w:rPr>
          <w:rFonts w:ascii="Times New Roman" w:hAnsi="Times New Roman" w:cs="Times New Roman"/>
          <w:lang w:val="en-GB"/>
        </w:rPr>
      </w:pPr>
    </w:p>
    <w:p w:rsidR="001A2D75" w:rsidRPr="0007020E" w:rsidRDefault="001A2D75" w:rsidP="0007020E">
      <w:pPr>
        <w:pStyle w:val="ListParagraph"/>
        <w:numPr>
          <w:ilvl w:val="0"/>
          <w:numId w:val="41"/>
        </w:numPr>
        <w:spacing w:after="0" w:line="288" w:lineRule="auto"/>
        <w:jc w:val="both"/>
        <w:rPr>
          <w:rFonts w:ascii="Times New Roman" w:hAnsi="Times New Roman" w:cs="Times New Roman"/>
        </w:rPr>
      </w:pPr>
      <w:r w:rsidRPr="0007020E">
        <w:rPr>
          <w:rFonts w:ascii="Times New Roman" w:hAnsi="Times New Roman" w:cs="Times New Roman"/>
        </w:rPr>
        <w:t>ELi partnerite lubadus messidel aktiivselt osaleda (saates eksperte ja delegaate);</w:t>
      </w:r>
    </w:p>
    <w:p w:rsidR="001A2D75" w:rsidRPr="0007020E" w:rsidRDefault="001A2D75" w:rsidP="0007020E">
      <w:pPr>
        <w:pStyle w:val="ListParagraph"/>
        <w:numPr>
          <w:ilvl w:val="0"/>
          <w:numId w:val="41"/>
        </w:numPr>
        <w:spacing w:after="0" w:line="288" w:lineRule="auto"/>
        <w:jc w:val="both"/>
        <w:rPr>
          <w:rFonts w:ascii="Times New Roman" w:hAnsi="Times New Roman" w:cs="Times New Roman"/>
        </w:rPr>
      </w:pPr>
      <w:r w:rsidRPr="0007020E">
        <w:rPr>
          <w:rFonts w:ascii="Times New Roman" w:hAnsi="Times New Roman" w:cs="Times New Roman"/>
        </w:rPr>
        <w:t>ELi partnerite lubadus koostada ürituse jaoks piisavad teabematerjalid;</w:t>
      </w:r>
    </w:p>
    <w:p w:rsidR="001A2D75" w:rsidRPr="0007020E" w:rsidRDefault="001A2D75" w:rsidP="0007020E">
      <w:pPr>
        <w:pStyle w:val="ListParagraph"/>
        <w:numPr>
          <w:ilvl w:val="0"/>
          <w:numId w:val="41"/>
        </w:numPr>
        <w:spacing w:after="0" w:line="288" w:lineRule="auto"/>
        <w:jc w:val="both"/>
        <w:rPr>
          <w:rFonts w:ascii="Times New Roman" w:hAnsi="Times New Roman" w:cs="Times New Roman"/>
        </w:rPr>
      </w:pPr>
      <w:r w:rsidRPr="0007020E">
        <w:rPr>
          <w:rFonts w:ascii="Times New Roman" w:hAnsi="Times New Roman" w:cs="Times New Roman"/>
        </w:rPr>
        <w:t>kohustus tagada kõrgetasemeline esindatus, kui see on teostatav: voliniku või tööhõive, sotsiaalküsimuste ja sotsiaalse kaasatuse peadirektoraadi tippjuhtkonna osalemine messil.</w:t>
      </w:r>
    </w:p>
    <w:p w:rsidR="007A1EBE" w:rsidRPr="0007020E" w:rsidRDefault="007A1EBE" w:rsidP="0007020E">
      <w:pPr>
        <w:jc w:val="both"/>
        <w:rPr>
          <w:rFonts w:ascii="Times New Roman" w:hAnsi="Times New Roman" w:cs="Times New Roman"/>
          <w:lang w:val="en-GB"/>
        </w:rPr>
      </w:pPr>
    </w:p>
    <w:p w:rsidR="00E01D16" w:rsidRPr="0007020E" w:rsidRDefault="008C4469" w:rsidP="0007020E">
      <w:pPr>
        <w:pStyle w:val="Heading1"/>
        <w:spacing w:before="0"/>
        <w:ind w:left="567" w:hanging="567"/>
        <w:jc w:val="both"/>
        <w:rPr>
          <w:rFonts w:ascii="Times New Roman" w:hAnsi="Times New Roman" w:cs="Times New Roman"/>
          <w:b/>
          <w:sz w:val="24"/>
        </w:rPr>
      </w:pPr>
      <w:r w:rsidRPr="0007020E">
        <w:rPr>
          <w:rFonts w:ascii="Times New Roman" w:hAnsi="Times New Roman" w:cs="Times New Roman"/>
          <w:b/>
          <w:color w:val="auto"/>
          <w:sz w:val="24"/>
          <w:szCs w:val="24"/>
        </w:rPr>
        <w:t xml:space="preserve">3. </w:t>
      </w:r>
      <w:r w:rsidRPr="0007020E">
        <w:rPr>
          <w:rFonts w:ascii="Times New Roman" w:hAnsi="Times New Roman" w:cs="Times New Roman"/>
          <w:b/>
          <w:color w:val="auto"/>
          <w:sz w:val="24"/>
          <w:szCs w:val="24"/>
        </w:rPr>
        <w:tab/>
      </w:r>
      <w:r w:rsidRPr="0007020E">
        <w:rPr>
          <w:rFonts w:ascii="Times New Roman" w:hAnsi="Times New Roman" w:cs="Times New Roman"/>
          <w:b/>
          <w:color w:val="auto"/>
          <w:sz w:val="24"/>
        </w:rPr>
        <w:t>Teised poliitikavaldkonnad ja koostöövõimalused</w:t>
      </w:r>
    </w:p>
    <w:p w:rsidR="00E01D16" w:rsidRPr="0007020E" w:rsidRDefault="00E01D16" w:rsidP="0007020E">
      <w:pPr>
        <w:jc w:val="both"/>
        <w:rPr>
          <w:rFonts w:ascii="Times New Roman" w:eastAsiaTheme="majorEastAsia" w:hAnsi="Times New Roman" w:cs="Times New Roman"/>
          <w:lang w:val="en-GB"/>
        </w:rPr>
      </w:pPr>
    </w:p>
    <w:p w:rsidR="00E01D16" w:rsidRPr="0007020E" w:rsidRDefault="00E01D16" w:rsidP="0007020E">
      <w:pPr>
        <w:spacing w:after="0"/>
        <w:jc w:val="both"/>
        <w:rPr>
          <w:rFonts w:ascii="Times New Roman" w:hAnsi="Times New Roman" w:cs="Times New Roman"/>
          <w:bCs/>
        </w:rPr>
      </w:pPr>
      <w:r w:rsidRPr="0007020E">
        <w:rPr>
          <w:rFonts w:ascii="Times New Roman" w:hAnsi="Times New Roman" w:cs="Times New Roman"/>
        </w:rPr>
        <w:t xml:space="preserve">Tööhõive, sotsiaalküsimuste ja sotsiaalse kaasatuse peadirektoraadi päevakorras on praegu ka mitmeid teisi algatusi, näiteks: </w:t>
      </w:r>
    </w:p>
    <w:p w:rsidR="007A1EBE" w:rsidRPr="0007020E" w:rsidRDefault="007A1EBE" w:rsidP="0007020E">
      <w:pPr>
        <w:spacing w:after="0"/>
        <w:jc w:val="both"/>
        <w:rPr>
          <w:rFonts w:ascii="Times New Roman" w:hAnsi="Times New Roman" w:cs="Times New Roman"/>
          <w:bCs/>
          <w:lang w:val="en-GB"/>
        </w:rPr>
      </w:pPr>
    </w:p>
    <w:p w:rsidR="00457987" w:rsidRPr="0007020E" w:rsidRDefault="007A1EBE"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sotsiaalmajanduse tegevuskava, mis plaanitakse vastu võtta 2021. aastal. Koostöö raames saaks uurida tegutsemist sotsiaalse kaasatuse, töökohtade loomise, hoolekandesektori (lastehoid ja vanurite hoolekanne) ja teiste sotsiaalteenuste valdkonnas ning sotsiaalse innovatsiooni alal sotsiaalmajanduses piirkondlikul ja piirkondadevahelisel tasandil;</w:t>
      </w:r>
    </w:p>
    <w:p w:rsidR="00E01D16" w:rsidRPr="0007020E" w:rsidRDefault="007A1EBE"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piisavad miinimumpalgad ELis, mille kohta komisjon esitas direktiivi ettepaneku 28. oktoobril 2020;</w:t>
      </w:r>
    </w:p>
    <w:p w:rsidR="00E01D16" w:rsidRPr="0007020E" w:rsidRDefault="007A1EBE"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hooajaltööliste töötingimused, mille kohta komisjon esitas 2020. aastal suunised;</w:t>
      </w:r>
    </w:p>
    <w:p w:rsidR="00E01D16" w:rsidRPr="0007020E" w:rsidRDefault="007A1EBE" w:rsidP="0007020E">
      <w:pPr>
        <w:pStyle w:val="ListParagraph"/>
        <w:numPr>
          <w:ilvl w:val="0"/>
          <w:numId w:val="33"/>
        </w:numPr>
        <w:spacing w:after="0" w:line="288" w:lineRule="auto"/>
        <w:ind w:left="360"/>
        <w:jc w:val="both"/>
        <w:rPr>
          <w:rFonts w:ascii="Times New Roman" w:hAnsi="Times New Roman" w:cs="Times New Roman"/>
        </w:rPr>
      </w:pPr>
      <w:r w:rsidRPr="0007020E">
        <w:rPr>
          <w:rFonts w:ascii="Times New Roman" w:hAnsi="Times New Roman" w:cs="Times New Roman"/>
        </w:rPr>
        <w:t>tööhõive, sotsiaalküsimuste ja sotsiaalse kaasatuse peadirektoraadi pädevusse jäävad demograafiliste muutuste aspektid.</w:t>
      </w:r>
    </w:p>
    <w:p w:rsidR="007A1EBE" w:rsidRPr="0007020E" w:rsidRDefault="007A1EBE" w:rsidP="0007020E">
      <w:pPr>
        <w:jc w:val="both"/>
        <w:rPr>
          <w:rFonts w:ascii="Times New Roman" w:hAnsi="Times New Roman" w:cs="Times New Roman"/>
          <w:lang w:val="en-GB"/>
        </w:rPr>
      </w:pPr>
    </w:p>
    <w:p w:rsidR="00E01D16" w:rsidRPr="0007020E" w:rsidRDefault="00E01D16" w:rsidP="0007020E">
      <w:pPr>
        <w:jc w:val="both"/>
        <w:rPr>
          <w:rFonts w:ascii="Times New Roman" w:hAnsi="Times New Roman" w:cs="Times New Roman"/>
        </w:rPr>
      </w:pPr>
      <w:r w:rsidRPr="0007020E">
        <w:rPr>
          <w:rFonts w:ascii="Times New Roman" w:hAnsi="Times New Roman" w:cs="Times New Roman"/>
        </w:rPr>
        <w:t>Komitee püüab korraldada konsultatsioone kohalike ja piirkondlike omavalitsustega, et saada sisendit nendele tähtsatele töövaldkondadele. Ühtlasi kavatsevad komitee ning tööhõive, sotsiaalküsimuste ja sotsiaalse kaasatuse peadirektoraat intensiivistada teabevahetust nendel teemadel.</w:t>
      </w:r>
    </w:p>
    <w:p w:rsidR="00E01D16" w:rsidRPr="0007020E" w:rsidRDefault="00E01D16" w:rsidP="0007020E">
      <w:pPr>
        <w:jc w:val="both"/>
        <w:rPr>
          <w:rFonts w:ascii="Times New Roman" w:hAnsi="Times New Roman" w:cs="Times New Roman"/>
          <w:lang w:val="en-GB"/>
        </w:rPr>
      </w:pPr>
    </w:p>
    <w:p w:rsidR="003E36A3" w:rsidRPr="0007020E" w:rsidRDefault="003E36A3" w:rsidP="0007020E">
      <w:pPr>
        <w:jc w:val="both"/>
        <w:rPr>
          <w:rFonts w:ascii="Times New Roman" w:hAnsi="Times New Roman" w:cs="Times New Roman"/>
        </w:rPr>
      </w:pPr>
      <w:r w:rsidRPr="0007020E">
        <w:rPr>
          <w:rFonts w:ascii="Times New Roman" w:hAnsi="Times New Roman" w:cs="Times New Roman"/>
        </w:rPr>
        <w:t>Komitee ning tööhõive, sotsiaalküsimuste ja sotsiaalse kaasatuse peadirektoraadi koostöö tugevdamiseks võib kavandada ka järgmisi lisameetmeid:</w:t>
      </w:r>
    </w:p>
    <w:p w:rsidR="005B2DC3" w:rsidRPr="0007020E" w:rsidRDefault="005B2DC3" w:rsidP="0007020E">
      <w:pPr>
        <w:jc w:val="both"/>
        <w:rPr>
          <w:rFonts w:ascii="Times New Roman" w:hAnsi="Times New Roman" w:cs="Times New Roman"/>
          <w:lang w:val="en-GB"/>
        </w:rPr>
      </w:pPr>
    </w:p>
    <w:p w:rsidR="003E36A3" w:rsidRPr="0007020E" w:rsidRDefault="007A1EBE" w:rsidP="0007020E">
      <w:pPr>
        <w:pStyle w:val="ListParagraph"/>
        <w:numPr>
          <w:ilvl w:val="0"/>
          <w:numId w:val="17"/>
        </w:numPr>
        <w:spacing w:after="0" w:line="288" w:lineRule="auto"/>
        <w:ind w:left="357" w:hanging="357"/>
        <w:jc w:val="both"/>
        <w:rPr>
          <w:rFonts w:ascii="Times New Roman" w:hAnsi="Times New Roman" w:cs="Times New Roman"/>
        </w:rPr>
      </w:pPr>
      <w:r w:rsidRPr="0007020E">
        <w:rPr>
          <w:rFonts w:ascii="Times New Roman" w:hAnsi="Times New Roman" w:cs="Times New Roman"/>
        </w:rPr>
        <w:t>regulaarne poliitiline dialoog – komitee täiskogu istungitel ning SEDECi komisjoni koosolekutel;</w:t>
      </w:r>
    </w:p>
    <w:p w:rsidR="003E36A3" w:rsidRPr="0007020E" w:rsidRDefault="007A1EBE" w:rsidP="0007020E">
      <w:pPr>
        <w:pStyle w:val="ListParagraph"/>
        <w:numPr>
          <w:ilvl w:val="0"/>
          <w:numId w:val="17"/>
        </w:numPr>
        <w:spacing w:after="0" w:line="288" w:lineRule="auto"/>
        <w:ind w:left="357" w:hanging="357"/>
        <w:jc w:val="both"/>
        <w:rPr>
          <w:rFonts w:ascii="Times New Roman" w:hAnsi="Times New Roman" w:cs="Times New Roman"/>
        </w:rPr>
      </w:pPr>
      <w:r w:rsidRPr="0007020E">
        <w:rPr>
          <w:rFonts w:ascii="Times New Roman" w:hAnsi="Times New Roman" w:cs="Times New Roman"/>
        </w:rPr>
        <w:t>kaaluda komitee liikmete ja raportööride osalemist tööhõive, sotsiaalküsimuste ja sotsiaalse kaasatuse peadirektoraadi korraldatud konverentsidel ja üritustel, millele kohalik ja piirkondlik vaatenurk annaks lisaväärtust;</w:t>
      </w:r>
    </w:p>
    <w:p w:rsidR="003E36A3" w:rsidRPr="0007020E" w:rsidRDefault="007A1EBE" w:rsidP="0007020E">
      <w:pPr>
        <w:pStyle w:val="ListParagraph"/>
        <w:numPr>
          <w:ilvl w:val="0"/>
          <w:numId w:val="17"/>
        </w:numPr>
        <w:spacing w:after="0" w:line="288" w:lineRule="auto"/>
        <w:ind w:left="357" w:hanging="357"/>
        <w:jc w:val="both"/>
        <w:rPr>
          <w:rFonts w:ascii="Times New Roman" w:hAnsi="Times New Roman" w:cs="Times New Roman"/>
        </w:rPr>
      </w:pPr>
      <w:r w:rsidRPr="0007020E">
        <w:rPr>
          <w:rFonts w:ascii="Times New Roman" w:hAnsi="Times New Roman" w:cs="Times New Roman"/>
        </w:rPr>
        <w:lastRenderedPageBreak/>
        <w:t>teavitada nõudmise korral komitee liikmeid kättesaadavatest ELi rahalistest vahenditest ja poliitilisest toetusest, et näidata, kuidas EL saab piirkondi ja linnu rohe- ja digipöördel aidata;</w:t>
      </w:r>
    </w:p>
    <w:p w:rsidR="002E7C63" w:rsidRPr="0007020E" w:rsidRDefault="007A1EBE" w:rsidP="0007020E">
      <w:pPr>
        <w:pStyle w:val="ListParagraph"/>
        <w:numPr>
          <w:ilvl w:val="0"/>
          <w:numId w:val="17"/>
        </w:numPr>
        <w:spacing w:after="0" w:line="288" w:lineRule="auto"/>
        <w:ind w:left="357" w:hanging="357"/>
        <w:jc w:val="both"/>
        <w:rPr>
          <w:rFonts w:ascii="Times New Roman" w:hAnsi="Times New Roman" w:cs="Times New Roman"/>
        </w:rPr>
      </w:pPr>
      <w:r w:rsidRPr="0007020E">
        <w:rPr>
          <w:rFonts w:ascii="Times New Roman" w:hAnsi="Times New Roman" w:cs="Times New Roman"/>
        </w:rPr>
        <w:t>uurida sobivatel juhtudel ühiseid kommunikatsioonimeetmeid;</w:t>
      </w:r>
    </w:p>
    <w:p w:rsidR="006D7CA9" w:rsidRPr="0007020E" w:rsidRDefault="007A1EBE" w:rsidP="0007020E">
      <w:pPr>
        <w:pStyle w:val="ListParagraph"/>
        <w:numPr>
          <w:ilvl w:val="0"/>
          <w:numId w:val="17"/>
        </w:numPr>
        <w:spacing w:after="0" w:line="288" w:lineRule="auto"/>
        <w:ind w:left="357" w:hanging="357"/>
        <w:jc w:val="both"/>
        <w:rPr>
          <w:rFonts w:ascii="Times New Roman" w:hAnsi="Times New Roman" w:cs="Times New Roman"/>
        </w:rPr>
      </w:pPr>
      <w:r w:rsidRPr="0007020E">
        <w:rPr>
          <w:rFonts w:ascii="Times New Roman" w:hAnsi="Times New Roman" w:cs="Times New Roman"/>
        </w:rPr>
        <w:t>uurida sünergiaid teiste peadirektoraatide algatustega, näiteks tööstuse ajakohastamise aruka spetsialiseerumise platvormi sotsiaalmajanduse partnerlus (</w:t>
      </w:r>
      <w:hyperlink r:id="rId15" w:history="1">
        <w:r w:rsidRPr="0007020E">
          <w:rPr>
            <w:rStyle w:val="Hyperlink"/>
            <w:rFonts w:ascii="Times New Roman" w:hAnsi="Times New Roman" w:cs="Times New Roman"/>
          </w:rPr>
          <w:t>https://s3platform.jrc.ec.europa.eu/social-economy</w:t>
        </w:r>
      </w:hyperlink>
      <w:r w:rsidRPr="0007020E">
        <w:rPr>
          <w:rFonts w:ascii="Times New Roman" w:hAnsi="Times New Roman" w:cs="Times New Roman"/>
        </w:rPr>
        <w:t>).</w:t>
      </w:r>
    </w:p>
    <w:p w:rsidR="006D7CA9" w:rsidRPr="0007020E" w:rsidRDefault="006D7CA9" w:rsidP="0007020E">
      <w:pPr>
        <w:jc w:val="both"/>
        <w:rPr>
          <w:rFonts w:ascii="Times New Roman" w:hAnsi="Times New Roman" w:cs="Times New Roman"/>
          <w:lang w:val="en-GB"/>
        </w:rPr>
      </w:pPr>
    </w:p>
    <w:p w:rsidR="006D7CA9" w:rsidRPr="0007020E" w:rsidRDefault="0068468C" w:rsidP="0007020E">
      <w:pPr>
        <w:pStyle w:val="Heading1"/>
        <w:jc w:val="both"/>
        <w:rPr>
          <w:rFonts w:ascii="Times New Roman" w:eastAsia="Times New Roman" w:hAnsi="Times New Roman" w:cs="Times New Roman"/>
          <w:b/>
          <w:color w:val="000000" w:themeColor="text1"/>
          <w:sz w:val="24"/>
          <w:szCs w:val="24"/>
        </w:rPr>
      </w:pPr>
      <w:r w:rsidRPr="0007020E">
        <w:rPr>
          <w:rFonts w:ascii="Times New Roman" w:hAnsi="Times New Roman" w:cs="Times New Roman"/>
          <w:b/>
          <w:color w:val="000000" w:themeColor="text1"/>
          <w:sz w:val="24"/>
          <w:szCs w:val="24"/>
        </w:rPr>
        <w:t xml:space="preserve">4. </w:t>
      </w:r>
      <w:r w:rsidRPr="0007020E">
        <w:rPr>
          <w:rFonts w:ascii="Times New Roman" w:hAnsi="Times New Roman" w:cs="Times New Roman"/>
          <w:b/>
          <w:color w:val="000000" w:themeColor="text1"/>
          <w:sz w:val="24"/>
          <w:szCs w:val="24"/>
        </w:rPr>
        <w:tab/>
        <w:t>Järgmised sammud</w:t>
      </w:r>
    </w:p>
    <w:p w:rsidR="006D7CA9" w:rsidRPr="0007020E" w:rsidRDefault="006D7CA9" w:rsidP="0007020E">
      <w:pPr>
        <w:keepNext/>
        <w:jc w:val="both"/>
        <w:rPr>
          <w:rFonts w:ascii="Times New Roman" w:hAnsi="Times New Roman" w:cs="Times New Roman"/>
          <w:lang w:val="en-GB"/>
        </w:rPr>
      </w:pPr>
    </w:p>
    <w:p w:rsidR="000F448C" w:rsidRPr="0007020E" w:rsidRDefault="00DC0DF4" w:rsidP="0007020E">
      <w:pPr>
        <w:jc w:val="both"/>
        <w:rPr>
          <w:rFonts w:ascii="Times New Roman" w:hAnsi="Times New Roman" w:cs="Times New Roman"/>
        </w:rPr>
      </w:pPr>
      <w:r w:rsidRPr="0007020E">
        <w:rPr>
          <w:rFonts w:ascii="Times New Roman" w:hAnsi="Times New Roman" w:cs="Times New Roman"/>
        </w:rPr>
        <w:t>Tööhõive, sotsiaalküsimuste ja sotsiaalse kaasatuse peadirektoraat ja komitee määravad kontaktisikud Euroopa kohalike töömesside kontseptsiooni ja rakendamise täpsustamiseks ning halduslikul tasandil sujuva koostöö ja koordineeritud tegevuse tagamiseks.</w:t>
      </w:r>
    </w:p>
    <w:sectPr w:rsidR="000F448C" w:rsidRPr="0007020E"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07020E">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https://ec.europa.eu/commission/sites/beta-political/files/reflection-paper-social-dimension-europe_et.pdf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https://eur-lex.europa.eu/LexUriServ/LexUriServ.do?uri=OJ:C:2012:102:0006:0010:ET:PDF</w:t>
        </w:r>
      </w:hyperlink>
      <w:r>
        <w:t>.</w:t>
      </w:r>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Teatises „Noorte tööhõive toetus: töösild järgmise põlvkonna jaoks“ (COM(2020) 276 final) ärgitas komisjon tungivalt liikmesriike suurendama toetust noorte tööhõive meetmetele ning võrreldes rahastamisperioodiga 2014–2020 selle eesmärgi täitmiseks eraldatavat summat, mis oli hinnanguliselt 22 miljardit eurot.</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Nõukogu soovitus töösilla kohta, millega tugevdatakse noortegarantiid, on nõukogus poliitiliselt kokku lepitud ja võetakse vastu enne 2020. aasta lõppu.</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rPr>
          <w:sz w:val="16"/>
          <w:szCs w:val="16"/>
        </w:rPr>
        <w:t xml:space="preserve"> </w:t>
      </w:r>
      <w:r>
        <w:rPr>
          <w:sz w:val="16"/>
          <w:szCs w:val="16"/>
        </w:rPr>
        <w:tab/>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7020E"/>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E4AE8"/>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1278"/>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et-EE"/>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et-EE"/>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et-EE"/>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et-EE"/>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et-EE"/>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et-EE"/>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et-EE"/>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et-EE"/>
    </w:rPr>
  </w:style>
  <w:style w:type="character" w:customStyle="1" w:styleId="Heading3Char">
    <w:name w:val="Heading 3 Char"/>
    <w:basedOn w:val="DefaultParagraphFont"/>
    <w:link w:val="Heading3"/>
    <w:rsid w:val="00A31CB4"/>
    <w:rPr>
      <w:lang w:val="et-EE"/>
    </w:rPr>
  </w:style>
  <w:style w:type="character" w:customStyle="1" w:styleId="Heading4Char">
    <w:name w:val="Heading 4 Char"/>
    <w:basedOn w:val="DefaultParagraphFont"/>
    <w:link w:val="Heading4"/>
    <w:rsid w:val="00A31CB4"/>
    <w:rPr>
      <w:lang w:val="et-EE"/>
    </w:rPr>
  </w:style>
  <w:style w:type="character" w:customStyle="1" w:styleId="Heading5Char">
    <w:name w:val="Heading 5 Char"/>
    <w:basedOn w:val="DefaultParagraphFont"/>
    <w:link w:val="Heading5"/>
    <w:rsid w:val="00A31CB4"/>
    <w:rPr>
      <w:lang w:val="et-EE"/>
    </w:rPr>
  </w:style>
  <w:style w:type="character" w:customStyle="1" w:styleId="Heading6Char">
    <w:name w:val="Heading 6 Char"/>
    <w:basedOn w:val="DefaultParagraphFont"/>
    <w:link w:val="Heading6"/>
    <w:rsid w:val="00A31CB4"/>
    <w:rPr>
      <w:lang w:val="et-EE"/>
    </w:rPr>
  </w:style>
  <w:style w:type="character" w:customStyle="1" w:styleId="Heading7Char">
    <w:name w:val="Heading 7 Char"/>
    <w:basedOn w:val="DefaultParagraphFont"/>
    <w:link w:val="Heading7"/>
    <w:rsid w:val="00A31CB4"/>
    <w:rPr>
      <w:lang w:val="et-EE"/>
    </w:rPr>
  </w:style>
  <w:style w:type="character" w:customStyle="1" w:styleId="Heading8Char">
    <w:name w:val="Heading 8 Char"/>
    <w:basedOn w:val="DefaultParagraphFont"/>
    <w:link w:val="Heading8"/>
    <w:rsid w:val="00A31CB4"/>
    <w:rPr>
      <w:lang w:val="et-EE"/>
    </w:rPr>
  </w:style>
  <w:style w:type="character" w:customStyle="1" w:styleId="Heading9Char">
    <w:name w:val="Heading 9 Char"/>
    <w:basedOn w:val="DefaultParagraphFont"/>
    <w:link w:val="Heading9"/>
    <w:rsid w:val="00A31CB4"/>
    <w:rPr>
      <w:lang w:val="et-EE"/>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ET:PDF" TargetMode="External"/><Relationship Id="rId1" Type="http://schemas.openxmlformats.org/officeDocument/2006/relationships/hyperlink" Target="https://ec.europa.eu/commission/sites/beta-political/files/reflection-paper-social-dimension-europe_et.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3T5AXJEHYTWU-1246943346-5620</_dlc_DocId>
    <_dlc_DocIdUrl xmlns="0b452354-65a4-4dd6-8824-e6b830247e3e">
      <Url>http://dm2016/cor/2020/_layouts/15/DocIdRedir.aspx?ID=3T5AXJEHYTWU-1246943346-5620</Url>
      <Description>3T5AXJEHYTWU-1246943346-5620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BDC781FB-20D0-42A0-AB8A-C0559A5ABDF3}"/>
</file>

<file path=customXml/itemProps2.xml><?xml version="1.0" encoding="utf-8"?>
<ds:datastoreItem xmlns:ds="http://schemas.openxmlformats.org/officeDocument/2006/customXml" ds:itemID="{BADA040B-0CEC-4E69-924C-C7FE56A9F5AD}"/>
</file>

<file path=customXml/itemProps3.xml><?xml version="1.0" encoding="utf-8"?>
<ds:datastoreItem xmlns:ds="http://schemas.openxmlformats.org/officeDocument/2006/customXml" ds:itemID="{46389CF3-5F4D-49C3-B366-69922EF1E135}"/>
</file>

<file path=customXml/itemProps4.xml><?xml version="1.0" encoding="utf-8"?>
<ds:datastoreItem xmlns:ds="http://schemas.openxmlformats.org/officeDocument/2006/customXml" ds:itemID="{CC618222-7338-45FB-84AE-0882C40A6238}"/>
</file>

<file path=docProps/app.xml><?xml version="1.0" encoding="utf-8"?>
<Properties xmlns="http://schemas.openxmlformats.org/officeDocument/2006/extended-properties" xmlns:vt="http://schemas.openxmlformats.org/officeDocument/2006/docPropsVTypes">
  <Template>Styles</Template>
  <TotalTime>8</TotalTime>
  <Pages>9</Pages>
  <Words>2676</Words>
  <Characters>15523</Characters>
  <Application>Microsoft Office Word</Application>
  <DocSecurity>0</DocSecurity>
  <Lines>129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 Regioonide Komitee ning Euroopa Komisjoni tööhõive, sotsiaalküsimuste ja sotsiaalse kaasatuse peadirektoraadi tõhustatud koostöö valdkonnad</dc:title>
  <dc:creator>Thomas Wobben</dc:creator>
  <cp:keywords>COR-2020-04835-00-01-TCD-TRA-EN</cp:keywords>
  <dc:description>Rapporteur:  - Original language: EN - Date of document: 23/11/2020 - Date of meeting: 25/11/2020 - External documents:  - Administrator:  PETRAS Georgios</dc:description>
  <cp:lastModifiedBy>Veermäe Ülle</cp:lastModifiedBy>
  <cp:revision>6</cp:revision>
  <cp:lastPrinted>2020-10-07T12:59:00Z</cp:lastPrinted>
  <dcterms:created xsi:type="dcterms:W3CDTF">2020-11-17T16:19:00Z</dcterms:created>
  <dcterms:modified xsi:type="dcterms:W3CDTF">2020-11-23T15:56:00Z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0dae4393-d22e-41cd-8d7e-e6d19b361dbe</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MT|7df99101-6854-4a26-b53a-b88c0da02c26;PL|1e03da61-4678-4e07-b136-b5024ca9197b;SV|c2ed69e7-a339-43d7-8f22-d93680a92aa0;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29;#SV|c2ed69e7-a339-43d7-8f22-d93680a92aa0;#50;#SEDEC-VII|2234d809-5ab4-4b5b-84d4-8dd3531523c3;#22;#TCD|cd9d6eb6-3f4f-424a-b2d1-57c9d450eaaf;#19;#LT|a7ff5ce7-6123-4f68-865a-a57c31810414;#17;#PL|1e03da61-4678-4e07-b136-b5024ca9197b;#14;#MT|7df99101-6854-4a26-b53a-b88c0da02c26;#13;#HR|2f555653-ed1a-4fe6-8362-9082d95989e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25;#ET|ff6c3f4c-b02c-4c3c-ab07-2c37995a7a0a</vt:lpwstr>
  </property>
  <property fmtid="{D5CDD505-2E9C-101B-9397-08002B2CF9AE}" pid="39" name="_docset_NoMedatataSyncRequired">
    <vt:lpwstr>False</vt:lpwstr>
  </property>
</Properties>
</file>