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B5D" w:rsidRPr="003814FB" w:rsidRDefault="0023381A" w:rsidP="00597DAD">
      <w:pPr>
        <w:spacing w:after="0"/>
        <w:rPr>
          <w:b/>
          <w:sz w:val="36"/>
          <w:szCs w:val="36"/>
          <w:u w:val="single"/>
        </w:rPr>
      </w:pPr>
      <w:r>
        <w:rPr>
          <w:noProof/>
          <w:lang w:val="en-GB" w:eastAsia="en-GB"/>
        </w:rPr>
        <w:drawing>
          <wp:anchor distT="0" distB="0" distL="114300" distR="114300" simplePos="0" relativeHeight="251658240" behindDoc="0" locked="0" layoutInCell="1" allowOverlap="1" wp14:anchorId="7062ED57" wp14:editId="16948DED">
            <wp:simplePos x="0" y="0"/>
            <wp:positionH relativeFrom="margin">
              <wp:align>right</wp:align>
            </wp:positionH>
            <wp:positionV relativeFrom="paragraph">
              <wp:posOffset>0</wp:posOffset>
            </wp:positionV>
            <wp:extent cx="1202400" cy="925200"/>
            <wp:effectExtent l="0" t="0" r="0" b="8255"/>
            <wp:wrapNone/>
            <wp:docPr id="5" name="Picture 5"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for Word EN Positiv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2400" cy="92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97DAD" w:rsidRPr="004E55AE">
        <w:rPr>
          <w:noProof/>
          <w:lang w:eastAsia="en-GB"/>
        </w:rPr>
        <w:drawing>
          <wp:inline distT="0" distB="0" distL="0" distR="0" wp14:anchorId="07821821" wp14:editId="24E457B2">
            <wp:extent cx="1200150" cy="1039221"/>
            <wp:effectExtent l="0" t="0" r="0" b="8890"/>
            <wp:docPr id="40" name="Picture 40" descr="C:\Users\mreg\Music\New LOGO CoR\Logo\logo_CoR-vertical-positive-fi-quadri_MR.jpg" title="CoRLogo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 CoR\Logo\logo_CoR-vertical-positive-fi-quadri_MR.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2391" cy="1049821"/>
                    </a:xfrm>
                    <a:prstGeom prst="rect">
                      <a:avLst/>
                    </a:prstGeom>
                    <a:noFill/>
                    <a:ln>
                      <a:noFill/>
                    </a:ln>
                  </pic:spPr>
                </pic:pic>
              </a:graphicData>
            </a:graphic>
          </wp:inline>
        </w:drawing>
      </w:r>
    </w:p>
    <w:p w:rsidR="00B87B5D" w:rsidRPr="003814FB" w:rsidRDefault="00C82EBC" w:rsidP="00597DAD">
      <w:pPr>
        <w:spacing w:after="0"/>
        <w:jc w:val="center"/>
        <w:rPr>
          <w:b/>
          <w:sz w:val="36"/>
          <w:szCs w:val="36"/>
          <w:u w:val="single"/>
        </w:rPr>
      </w:pPr>
      <w:r>
        <w:rPr>
          <w:b/>
          <w:noProof/>
          <w:sz w:val="20"/>
          <w:szCs w:val="36"/>
          <w:u w:val="single"/>
          <w:lang w:val="en-GB" w:eastAsia="en-GB"/>
        </w:rPr>
        <mc:AlternateContent>
          <mc:Choice Requires="wps">
            <w:drawing>
              <wp:anchor distT="0" distB="0" distL="114300" distR="114300" simplePos="0" relativeHeight="251664384" behindDoc="1" locked="0" layoutInCell="0" allowOverlap="1" wp14:anchorId="0A16B62C" wp14:editId="245779F2">
                <wp:simplePos x="0" y="0"/>
                <wp:positionH relativeFrom="page">
                  <wp:posOffset>6769100</wp:posOffset>
                </wp:positionH>
                <wp:positionV relativeFrom="page">
                  <wp:posOffset>10081260</wp:posOffset>
                </wp:positionV>
                <wp:extent cx="647700" cy="396240"/>
                <wp:effectExtent l="0" t="3810" r="3175"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EBC" w:rsidRPr="00260E65" w:rsidRDefault="00C82EBC">
                            <w:pPr>
                              <w:jc w:val="center"/>
                              <w:rPr>
                                <w:rFonts w:ascii="Arial" w:hAnsi="Arial" w:cs="Arial"/>
                                <w:b/>
                                <w:bCs/>
                                <w:sz w:val="48"/>
                              </w:rPr>
                            </w:pPr>
                            <w:r>
                              <w:rPr>
                                <w:rFonts w:ascii="Arial" w:hAnsi="Arial"/>
                                <w:b/>
                                <w:bCs/>
                                <w:sz w:val="48"/>
                              </w:rPr>
                              <w:t>FI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6B62C"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l0EtQIAALk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B2tl0EtQIAALkF&#10;AAAOAAAAAAAAAAAAAAAAAC4CAABkcnMvZTJvRG9jLnhtbFBLAQItABQABgAIAAAAIQDrVDFa3gAA&#10;AA8BAAAPAAAAAAAAAAAAAAAAAA8FAABkcnMvZG93bnJldi54bWxQSwUGAAAAAAQABADzAAAAGgYA&#10;AAAA&#10;" o:allowincell="f" filled="f" stroked="f">
                <v:textbox>
                  <w:txbxContent>
                    <w:p w:rsidR="00C82EBC" w:rsidRPr="00260E65" w:rsidRDefault="00C82EBC">
                      <w:pPr>
                        <w:jc w:val="center"/>
                        <w:rPr>
                          <w:rFonts w:ascii="Arial" w:hAnsi="Arial" w:cs="Arial"/>
                          <w:b/>
                          <w:bCs/>
                          <w:sz w:val="48"/>
                        </w:rPr>
                      </w:pPr>
                      <w:r>
                        <w:rPr>
                          <w:rFonts w:ascii="Arial" w:hAnsi="Arial"/>
                          <w:b/>
                          <w:bCs/>
                          <w:sz w:val="48"/>
                        </w:rPr>
                        <w:t>FI</w:t>
                      </w:r>
                    </w:p>
                  </w:txbxContent>
                </v:textbox>
                <w10:wrap anchorx="page" anchory="page"/>
              </v:shape>
            </w:pict>
          </mc:Fallback>
        </mc:AlternateContent>
      </w:r>
    </w:p>
    <w:p w:rsidR="0072285A" w:rsidRPr="003814FB" w:rsidRDefault="00C34231" w:rsidP="00597DAD">
      <w:pPr>
        <w:spacing w:after="0"/>
        <w:jc w:val="center"/>
        <w:rPr>
          <w:b/>
          <w:sz w:val="36"/>
          <w:u w:val="single"/>
        </w:rPr>
      </w:pPr>
      <w:r>
        <w:rPr>
          <w:b/>
          <w:sz w:val="36"/>
          <w:u w:val="single"/>
        </w:rPr>
        <w:t>Euroopan alueiden komitean (AK) ja Euroopan komission työllisyys- ja sosiaaliasioiden pääosaston välisen tiiviimmän yhteistyön alat</w:t>
      </w:r>
    </w:p>
    <w:p w:rsidR="001C24E4" w:rsidRPr="003814FB" w:rsidRDefault="001C24E4" w:rsidP="00597DAD">
      <w:pPr>
        <w:spacing w:after="0"/>
        <w:jc w:val="center"/>
        <w:rPr>
          <w:b/>
          <w:sz w:val="36"/>
          <w:szCs w:val="36"/>
          <w:u w:val="single"/>
          <w:lang w:val="en-GB"/>
        </w:rPr>
      </w:pPr>
    </w:p>
    <w:p w:rsidR="009521C5" w:rsidRPr="00597DAD" w:rsidRDefault="009521C5" w:rsidP="00597DAD">
      <w:pPr>
        <w:pStyle w:val="Heading1"/>
        <w:numPr>
          <w:ilvl w:val="0"/>
          <w:numId w:val="22"/>
        </w:numPr>
        <w:spacing w:before="0" w:after="0"/>
        <w:ind w:left="567" w:hanging="567"/>
        <w:jc w:val="both"/>
        <w:rPr>
          <w:rFonts w:asciiTheme="minorHAnsi" w:hAnsiTheme="minorHAnsi" w:cstheme="minorHAnsi"/>
          <w:b/>
          <w:color w:val="auto"/>
          <w:sz w:val="24"/>
        </w:rPr>
      </w:pPr>
      <w:r w:rsidRPr="00597DAD">
        <w:rPr>
          <w:rFonts w:asciiTheme="minorHAnsi" w:hAnsiTheme="minorHAnsi" w:cstheme="minorHAnsi"/>
          <w:b/>
          <w:color w:val="auto"/>
          <w:sz w:val="24"/>
        </w:rPr>
        <w:t>Johdanto</w:t>
      </w:r>
    </w:p>
    <w:p w:rsidR="00014693" w:rsidRPr="00597DAD" w:rsidRDefault="00014693" w:rsidP="00597DAD">
      <w:pPr>
        <w:spacing w:after="0"/>
        <w:jc w:val="both"/>
        <w:rPr>
          <w:rFonts w:cstheme="minorHAnsi"/>
          <w:sz w:val="24"/>
          <w:szCs w:val="24"/>
          <w:lang w:val="en-GB"/>
        </w:rPr>
      </w:pPr>
    </w:p>
    <w:p w:rsidR="00014E6A" w:rsidRPr="00597DAD" w:rsidRDefault="00C82EBC" w:rsidP="00597DAD">
      <w:pPr>
        <w:spacing w:after="0"/>
        <w:jc w:val="both"/>
        <w:rPr>
          <w:rFonts w:cstheme="minorHAnsi"/>
          <w:color w:val="000000"/>
        </w:rPr>
      </w:pPr>
      <w:r w:rsidRPr="00597DAD">
        <w:rPr>
          <w:rFonts w:cstheme="minorHAnsi"/>
        </w:rPr>
        <w:t>On selvää, että sosiaalinen Eurooppa on ratkaisevan tärkeä osa EU:n panosta demokraattisten, yhtenäisten, kulttuurisesti monimuotoisten ja vauraiden yhteiskuntien luomiseen, eikä ainoastaan covid-19-kriisin vuoksi. Sosiaalinen Eurooppa tarkoittaa taloudellista ja sosiaalista edistystä, syrjinnän ja sosiaalisen syrjäytymisen torjuntaa sekä sitä, että eurooppalaiset ovat työmarkkinakelpoisia ja voivat elää antoisaa elämää.</w:t>
      </w:r>
      <w:r w:rsidR="00014E6A" w:rsidRPr="00597DAD">
        <w:rPr>
          <w:rStyle w:val="FootnoteReference"/>
          <w:rFonts w:cstheme="minorHAnsi"/>
          <w:lang w:val="en-GB"/>
        </w:rPr>
        <w:footnoteReference w:id="2"/>
      </w:r>
      <w:r w:rsidRPr="00597DAD">
        <w:rPr>
          <w:rFonts w:cstheme="minorHAnsi"/>
        </w:rPr>
        <w:t xml:space="preserve"> </w:t>
      </w:r>
    </w:p>
    <w:p w:rsidR="00014E6A" w:rsidRPr="00597DAD" w:rsidRDefault="00014E6A" w:rsidP="00597DAD">
      <w:pPr>
        <w:spacing w:after="0"/>
        <w:jc w:val="both"/>
        <w:rPr>
          <w:rFonts w:cstheme="minorHAnsi"/>
          <w:color w:val="000000"/>
          <w:lang w:val="en-GB"/>
        </w:rPr>
      </w:pPr>
    </w:p>
    <w:p w:rsidR="00014E6A" w:rsidRPr="00597DAD" w:rsidRDefault="00014E6A" w:rsidP="00597DAD">
      <w:pPr>
        <w:spacing w:after="0"/>
        <w:jc w:val="both"/>
        <w:rPr>
          <w:rFonts w:cstheme="minorHAnsi"/>
        </w:rPr>
      </w:pPr>
      <w:r w:rsidRPr="00597DAD">
        <w:rPr>
          <w:rFonts w:cstheme="minorHAnsi"/>
        </w:rPr>
        <w:t xml:space="preserve">Euroopan alueiden komitea (AK) ja työllisyys-, sosiaali- ja osallisuusasioiden pääosasto ovat tehneet aiemminkin yhteistyötä useilla aloilla, mutta on kuitenkin ilmeistä, että edessä olevat haasteet ja asiasta vastaavan komission jäsenen suuri kiinnostus tarjoavat tilaisuuden asettaa komission ja AK:n yhteistyö tällä alalla uudelle tasolle. </w:t>
      </w:r>
    </w:p>
    <w:p w:rsidR="00014E6A" w:rsidRPr="00597DAD" w:rsidRDefault="00014E6A" w:rsidP="00597DAD">
      <w:pPr>
        <w:spacing w:after="0"/>
        <w:jc w:val="both"/>
        <w:rPr>
          <w:rFonts w:cstheme="minorHAnsi"/>
          <w:lang w:val="en-GB"/>
        </w:rPr>
      </w:pPr>
    </w:p>
    <w:p w:rsidR="00014E6A" w:rsidRPr="00597DAD" w:rsidRDefault="00014E6A" w:rsidP="00597DAD">
      <w:pPr>
        <w:pStyle w:val="ListParagraph"/>
        <w:numPr>
          <w:ilvl w:val="0"/>
          <w:numId w:val="26"/>
        </w:numPr>
        <w:spacing w:after="0"/>
        <w:ind w:left="360"/>
        <w:jc w:val="both"/>
        <w:rPr>
          <w:rFonts w:asciiTheme="minorHAnsi" w:hAnsiTheme="minorHAnsi" w:cstheme="minorHAnsi"/>
        </w:rPr>
      </w:pPr>
      <w:r w:rsidRPr="00597DAD">
        <w:rPr>
          <w:rFonts w:asciiTheme="minorHAnsi" w:hAnsiTheme="minorHAnsi" w:cstheme="minorHAnsi"/>
        </w:rPr>
        <w:t xml:space="preserve">Komission jäsen Nicolas Schmit on osoittanut huomattavaa kiinnostusta AK:ta kohtaan, ja hän on alle vuoden aikana osallistunut jo kahteen täysistuntoon ja yhteen ”sosiaalipolitiikka, koulutus, työllisyys, tutkimus ja kulttuuri” </w:t>
      </w:r>
      <w:r w:rsidRPr="00597DAD">
        <w:rPr>
          <w:rFonts w:asciiTheme="minorHAnsi" w:hAnsiTheme="minorHAnsi" w:cstheme="minorHAnsi"/>
        </w:rPr>
        <w:noBreakHyphen/>
        <w:t xml:space="preserve">valiokunnan (SEDEC) kokoukseen. </w:t>
      </w:r>
    </w:p>
    <w:p w:rsidR="00164C40" w:rsidRPr="00597DAD" w:rsidRDefault="00164C40" w:rsidP="00597DAD">
      <w:pPr>
        <w:pStyle w:val="ListParagraph"/>
        <w:numPr>
          <w:ilvl w:val="0"/>
          <w:numId w:val="26"/>
        </w:numPr>
        <w:spacing w:after="0"/>
        <w:ind w:left="360"/>
        <w:jc w:val="both"/>
        <w:rPr>
          <w:rFonts w:asciiTheme="minorHAnsi" w:hAnsiTheme="minorHAnsi" w:cstheme="minorHAnsi"/>
        </w:rPr>
      </w:pPr>
      <w:r w:rsidRPr="00597DAD">
        <w:rPr>
          <w:rFonts w:asciiTheme="minorHAnsi" w:hAnsiTheme="minorHAnsi" w:cstheme="minorHAnsi"/>
        </w:rPr>
        <w:t>Joost Korte (työllisyys-, sosiaali- ja osallisuusasioiden pääosaston pääjohtaja) osallistui SEDEC-valiokunnan kokoukseen helmikuussa 2020 ja piti siellä puheen, jossa AK:n jäseniä kannustettiin antamaan palautetta komission tiedonannossa ”Vahva sosiaalinen Eurooppa oikeudenmukaisten siirtymien toteuttamiseksi” esitetyn kehotuksen mukaisesti (SEDEC-valiokunta laatii parhaillaan asiasta lausuntoa).</w:t>
      </w:r>
    </w:p>
    <w:p w:rsidR="00164C40" w:rsidRPr="00597DAD" w:rsidRDefault="00164C40" w:rsidP="00597DAD">
      <w:pPr>
        <w:pStyle w:val="ListParagraph"/>
        <w:numPr>
          <w:ilvl w:val="0"/>
          <w:numId w:val="26"/>
        </w:numPr>
        <w:spacing w:after="0"/>
        <w:ind w:left="360"/>
        <w:jc w:val="both"/>
        <w:rPr>
          <w:rFonts w:asciiTheme="minorHAnsi" w:hAnsiTheme="minorHAnsi" w:cstheme="minorHAnsi"/>
        </w:rPr>
      </w:pPr>
      <w:r w:rsidRPr="00597DAD">
        <w:rPr>
          <w:rFonts w:asciiTheme="minorHAnsi" w:hAnsiTheme="minorHAnsi" w:cstheme="minorHAnsi"/>
        </w:rPr>
        <w:t>Sekä komission jäsen että pääjohtaja totesivat selkeästi, että he odottavat AK:n osallistuvan aktiivisesti Porton sosiaalialan huippukokouksen (toukokuussa 2021) ja Euroopan sosiaalisten oikeuksien pilarin täytäntöönpanoa koskevan toimintasuunnitelman valmisteluun.</w:t>
      </w:r>
    </w:p>
    <w:p w:rsidR="006A6308" w:rsidRPr="00597DAD" w:rsidRDefault="006A6308" w:rsidP="00597DAD">
      <w:pPr>
        <w:pStyle w:val="ListParagraph"/>
        <w:numPr>
          <w:ilvl w:val="0"/>
          <w:numId w:val="26"/>
        </w:numPr>
        <w:spacing w:after="0"/>
        <w:ind w:left="360"/>
        <w:jc w:val="both"/>
        <w:rPr>
          <w:rFonts w:asciiTheme="minorHAnsi" w:hAnsiTheme="minorHAnsi" w:cstheme="minorHAnsi"/>
        </w:rPr>
      </w:pPr>
      <w:r w:rsidRPr="00597DAD">
        <w:rPr>
          <w:rFonts w:asciiTheme="minorHAnsi" w:hAnsiTheme="minorHAnsi" w:cstheme="minorHAnsi"/>
        </w:rPr>
        <w:lastRenderedPageBreak/>
        <w:t>Yhteistyöhenkeä edistettiin edelleen, kun komission jäsenen ja AK:n puheenjohtajan tapaamisessa (9. heinäkuuta) vahvistettiin, että molempien toimielinten olisi löydettävä lisää yhteistyömahdollisuuksia.</w:t>
      </w:r>
    </w:p>
    <w:p w:rsidR="00864E4E" w:rsidRPr="00597DAD" w:rsidRDefault="00864E4E" w:rsidP="00597DAD">
      <w:pPr>
        <w:spacing w:after="0"/>
        <w:jc w:val="both"/>
        <w:rPr>
          <w:rFonts w:cstheme="minorHAnsi"/>
        </w:rPr>
      </w:pPr>
      <w:r w:rsidRPr="00597DAD">
        <w:rPr>
          <w:rFonts w:cstheme="minorHAnsi"/>
        </w:rPr>
        <w:t>Komissio ja alueiden komitea sopivat Euroopan komission ja alueiden komitean yhteistyöpöytäkirjassa (2012/C 102/02)</w:t>
      </w:r>
      <w:r w:rsidRPr="00597DAD">
        <w:rPr>
          <w:rFonts w:cstheme="minorHAnsi"/>
          <w:lang w:val="en-GB"/>
        </w:rPr>
        <w:footnoteReference w:id="3"/>
      </w:r>
      <w:r w:rsidRPr="00597DAD">
        <w:rPr>
          <w:rFonts w:cstheme="minorHAnsi"/>
        </w:rPr>
        <w:t xml:space="preserve"> tiivistävänsä yhteistyötään. Käsillä olevassa AK:n ja työllisyys-, sosiaali- ja osallisuusasioiden pääosaston yhteisessä muistiossa esitetään tiiviimmän yhteistyön alat ja tärkeimmät välineet.</w:t>
      </w:r>
    </w:p>
    <w:p w:rsidR="003D208F" w:rsidRPr="00597DAD" w:rsidRDefault="003D208F" w:rsidP="00597DAD">
      <w:pPr>
        <w:spacing w:after="0"/>
        <w:jc w:val="both"/>
        <w:rPr>
          <w:rFonts w:cstheme="minorHAnsi"/>
          <w:lang w:val="en-GB"/>
        </w:rPr>
      </w:pPr>
    </w:p>
    <w:p w:rsidR="00EB524C" w:rsidRPr="00597DAD" w:rsidRDefault="00EA2779" w:rsidP="00597DAD">
      <w:pPr>
        <w:pStyle w:val="Heading1"/>
        <w:numPr>
          <w:ilvl w:val="0"/>
          <w:numId w:val="22"/>
        </w:numPr>
        <w:spacing w:before="0" w:after="0"/>
        <w:ind w:left="567" w:hanging="567"/>
        <w:jc w:val="both"/>
        <w:rPr>
          <w:rFonts w:asciiTheme="minorHAnsi" w:hAnsiTheme="minorHAnsi" w:cstheme="minorHAnsi"/>
          <w:b/>
          <w:color w:val="auto"/>
          <w:sz w:val="24"/>
        </w:rPr>
      </w:pPr>
      <w:r w:rsidRPr="00597DAD">
        <w:rPr>
          <w:rFonts w:asciiTheme="minorHAnsi" w:hAnsiTheme="minorHAnsi" w:cstheme="minorHAnsi"/>
          <w:b/>
          <w:color w:val="auto"/>
          <w:sz w:val="24"/>
        </w:rPr>
        <w:t>AK:n ja työllisyys-, sosiaali- ja osallisuusasioiden pääosaston välisen tiiviimmän yhteistyön keskeiset teemat</w:t>
      </w:r>
    </w:p>
    <w:p w:rsidR="004D765D" w:rsidRPr="00597DAD" w:rsidRDefault="004D765D" w:rsidP="00597DAD">
      <w:pPr>
        <w:keepNext/>
        <w:spacing w:after="0"/>
        <w:jc w:val="both"/>
        <w:rPr>
          <w:rFonts w:cstheme="minorHAnsi"/>
          <w:lang w:val="en-GB"/>
        </w:rPr>
      </w:pPr>
    </w:p>
    <w:p w:rsidR="00964812" w:rsidRPr="00597DAD" w:rsidRDefault="008E118B" w:rsidP="00597DAD">
      <w:pPr>
        <w:spacing w:after="0"/>
        <w:jc w:val="both"/>
        <w:rPr>
          <w:rFonts w:cstheme="minorHAnsi"/>
        </w:rPr>
      </w:pPr>
      <w:r w:rsidRPr="00597DAD">
        <w:rPr>
          <w:rFonts w:cstheme="minorHAnsi"/>
        </w:rPr>
        <w:t>Kun otetaan huomioon sosiaaliseen ulottuvuuteen liittyvien aiheiden laaja kirjo ja käytettävissä olevat resurssit, on tärkeää keskittää tiiviimpi yhteistyö aloille, joilla AK voi tuottaa selkeää lisäarvoa ja joilla alueellinen ulottuvuus on vahvin. Vaikka muilla aloilla tehtävää yhteistyötä, erityisesti yhteisötalouden edistämisessä, ei estetä, tiiviimmän yhteistyön alat ovat seuraavat:</w:t>
      </w:r>
    </w:p>
    <w:p w:rsidR="003D208F" w:rsidRPr="00597DAD" w:rsidRDefault="003D208F" w:rsidP="00597DAD">
      <w:pPr>
        <w:spacing w:after="0"/>
        <w:jc w:val="both"/>
        <w:rPr>
          <w:rFonts w:cstheme="minorHAnsi"/>
          <w:lang w:val="en-GB"/>
        </w:rPr>
      </w:pPr>
    </w:p>
    <w:p w:rsidR="00EA2779" w:rsidRPr="00597DAD" w:rsidRDefault="00EA2779" w:rsidP="00597DAD">
      <w:pPr>
        <w:pStyle w:val="Heading2"/>
        <w:spacing w:after="0"/>
        <w:jc w:val="both"/>
        <w:rPr>
          <w:rFonts w:cstheme="minorHAnsi"/>
          <w:color w:val="365F91" w:themeColor="accent1" w:themeShade="BF"/>
        </w:rPr>
      </w:pPr>
      <w:r w:rsidRPr="00597DAD">
        <w:rPr>
          <w:rFonts w:cstheme="minorHAnsi"/>
          <w:b/>
          <w:sz w:val="24"/>
          <w:szCs w:val="24"/>
        </w:rPr>
        <w:t>2.1.</w:t>
      </w:r>
      <w:r w:rsidRPr="00597DAD">
        <w:rPr>
          <w:rFonts w:cstheme="minorHAnsi"/>
        </w:rPr>
        <w:tab/>
      </w:r>
      <w:r w:rsidRPr="00597DAD">
        <w:rPr>
          <w:rFonts w:cstheme="minorHAnsi"/>
          <w:b/>
          <w:sz w:val="24"/>
          <w:szCs w:val="32"/>
        </w:rPr>
        <w:t>Euroopan sosiaalisten oikeuksien pilari</w:t>
      </w:r>
    </w:p>
    <w:p w:rsidR="00EA2779" w:rsidRPr="00597DAD" w:rsidRDefault="00EA2779" w:rsidP="00597DAD">
      <w:pPr>
        <w:spacing w:after="0"/>
        <w:jc w:val="both"/>
        <w:rPr>
          <w:rFonts w:cstheme="minorHAnsi"/>
          <w:b/>
          <w:u w:val="single"/>
          <w:lang w:val="en-GB"/>
        </w:rPr>
      </w:pPr>
    </w:p>
    <w:p w:rsidR="005366D6" w:rsidRPr="00597DAD" w:rsidRDefault="005366D6" w:rsidP="00597DAD">
      <w:pPr>
        <w:spacing w:after="0"/>
        <w:jc w:val="both"/>
        <w:rPr>
          <w:rFonts w:cstheme="minorHAnsi"/>
          <w:szCs w:val="24"/>
        </w:rPr>
      </w:pPr>
      <w:r w:rsidRPr="00597DAD">
        <w:rPr>
          <w:rFonts w:cstheme="minorHAnsi"/>
        </w:rPr>
        <w:t>Euroopan sosiaalisten oikeuksien pilari on yhteisymmärrykseen perustuva asiakirja, joka kuvastaa sitä, mitä unioni edustaa työllisyyden ja sosiaaliasioiden alalla.</w:t>
      </w:r>
      <w:r w:rsidRPr="00597DAD">
        <w:rPr>
          <w:rFonts w:cstheme="minorHAnsi"/>
          <w:i/>
          <w:szCs w:val="24"/>
        </w:rPr>
        <w:t xml:space="preserve"> </w:t>
      </w:r>
      <w:r w:rsidRPr="00597DAD">
        <w:rPr>
          <w:rFonts w:cstheme="minorHAnsi"/>
        </w:rPr>
        <w:t>Se hyväksyttiin korkeimmalla poliittisella tasolla, ja se on jo tuonut mukanaan kauaskantoisia toimenpiteitä EU:n, jäsenvaltioiden, alueiden ja kuntien tasolla vahvistaen EU:n sosiaalista ulottuvuutta. Komissio on myös 27.</w:t>
      </w:r>
      <w:r w:rsidR="00597DAD" w:rsidRPr="00597DAD">
        <w:rPr>
          <w:rFonts w:cstheme="minorHAnsi"/>
        </w:rPr>
        <w:t> </w:t>
      </w:r>
      <w:r w:rsidRPr="00597DAD">
        <w:rPr>
          <w:rFonts w:cstheme="minorHAnsi"/>
        </w:rPr>
        <w:t>toukokuuta 2020 antamassaan tiedonannossa asettanut Euroopan sosiaalisten oikeuksien pilarin oikeudenmukaista ja osallistavaa covid-19-kriisistä elpymistä koskevan etenemissuunnitelmansa keskiöön.</w:t>
      </w:r>
    </w:p>
    <w:p w:rsidR="005366D6" w:rsidRPr="00597DAD" w:rsidRDefault="005366D6" w:rsidP="00597DAD">
      <w:pPr>
        <w:spacing w:after="0"/>
        <w:jc w:val="both"/>
        <w:rPr>
          <w:rFonts w:cstheme="minorHAnsi"/>
          <w:szCs w:val="24"/>
          <w:lang w:val="en-GB" w:eastAsia="fr-BE"/>
        </w:rPr>
      </w:pPr>
    </w:p>
    <w:p w:rsidR="005366D6" w:rsidRPr="00597DAD" w:rsidRDefault="005366D6" w:rsidP="00597DAD">
      <w:pPr>
        <w:spacing w:after="0"/>
        <w:jc w:val="both"/>
        <w:rPr>
          <w:rFonts w:cstheme="minorHAnsi"/>
          <w:szCs w:val="24"/>
        </w:rPr>
      </w:pPr>
      <w:r w:rsidRPr="00597DAD">
        <w:rPr>
          <w:rFonts w:cstheme="minorHAnsi"/>
        </w:rPr>
        <w:t xml:space="preserve">Eurooppa-neuvoston kesäkuussa 2019 hyväksymässä vuosien 2019–2024 strategisessa ohjelmassa kehotetaan panemaan pilari täytäntöön EU:n ja jäsenvaltioiden tasolla ottaen asianmukaisesti huomioon kunkin osapuolen toimivaltuudet. </w:t>
      </w:r>
    </w:p>
    <w:p w:rsidR="003D208F" w:rsidRPr="00597DAD" w:rsidRDefault="003D208F" w:rsidP="00597DAD">
      <w:pPr>
        <w:spacing w:after="0"/>
        <w:jc w:val="both"/>
        <w:rPr>
          <w:rFonts w:cstheme="minorHAnsi"/>
          <w:szCs w:val="24"/>
          <w:lang w:val="en-GB" w:eastAsia="en-GB"/>
        </w:rPr>
      </w:pPr>
    </w:p>
    <w:p w:rsidR="005366D6" w:rsidRPr="00597DAD" w:rsidRDefault="005366D6" w:rsidP="00597DAD">
      <w:pPr>
        <w:spacing w:after="0"/>
        <w:jc w:val="both"/>
        <w:rPr>
          <w:rFonts w:cstheme="minorHAnsi"/>
          <w:szCs w:val="24"/>
        </w:rPr>
      </w:pPr>
      <w:r w:rsidRPr="00597DAD">
        <w:rPr>
          <w:rFonts w:cstheme="minorHAnsi"/>
        </w:rPr>
        <w:t xml:space="preserve">Puheenjohtaja Ursula von der Leyenin komission poliittisissa suuntaviivoissa sitoudutaan esittämään toimintasuunnitelma Euroopan sosiaalisten oikeuksien pilarin täytäntöön panemiseksi kaikilta osin. Komission 14. tammikuuta 2020 antamassa tiedonannossa ”Vahva sosiaalinen Eurooppa oikeudenmukaisten siirtymien toteuttamiseksi” esitettiin useita avaintoimia vuosiksi 2020 ja 2021, ja sillä käynnistettiin laaja kuulemis- ja sitoutumisprosessi, jonka tarkoituksena on edistää toimintasuunnitelman valmistelua. Sosiaalisen tuen ja suojelun tarve on entistäkin suurempi </w:t>
      </w:r>
      <w:r w:rsidRPr="00597DAD">
        <w:rPr>
          <w:rFonts w:cstheme="minorHAnsi"/>
        </w:rPr>
        <w:lastRenderedPageBreak/>
        <w:t>nykyisen covid-19-pandemian aikana, sillä se on aiheuttanut jäsenvaltioiden sosiaaliturvajärjestelmiin valtavaa painetta, ja EU:n yhteiskuntarakenne on vaarassa hajota.</w:t>
      </w:r>
    </w:p>
    <w:p w:rsidR="005366D6" w:rsidRPr="00597DAD" w:rsidRDefault="005366D6" w:rsidP="00597DAD">
      <w:pPr>
        <w:spacing w:after="0"/>
        <w:jc w:val="both"/>
        <w:rPr>
          <w:rFonts w:cstheme="minorHAnsi"/>
          <w:szCs w:val="24"/>
          <w:lang w:val="en-GB" w:eastAsia="en-GB"/>
        </w:rPr>
      </w:pPr>
    </w:p>
    <w:p w:rsidR="005366D6" w:rsidRPr="00597DAD" w:rsidRDefault="005366D6" w:rsidP="00597DAD">
      <w:pPr>
        <w:autoSpaceDE w:val="0"/>
        <w:autoSpaceDN w:val="0"/>
        <w:adjustRightInd w:val="0"/>
        <w:spacing w:after="0"/>
        <w:jc w:val="both"/>
        <w:rPr>
          <w:rFonts w:cstheme="minorHAnsi"/>
          <w:szCs w:val="24"/>
        </w:rPr>
      </w:pPr>
      <w:r w:rsidRPr="00597DAD">
        <w:rPr>
          <w:rFonts w:cstheme="minorHAnsi"/>
        </w:rPr>
        <w:t xml:space="preserve">Komission tavoitteena on esittää toimintasuunnitelma vuoden 2021 alussa ja pyrkiä siihen, että se hyväksytään korkeimmalla poliittisella tasolla sosiaalialan huippukokouksessa, jonka Euroopan unionin neuvoston puheenjohtajavaltio Portugali järjestää toukokuussa 2021. </w:t>
      </w:r>
    </w:p>
    <w:p w:rsidR="00CE0C02" w:rsidRPr="00597DAD" w:rsidRDefault="00CE0C02" w:rsidP="00597DAD">
      <w:pPr>
        <w:spacing w:after="0"/>
        <w:jc w:val="both"/>
        <w:rPr>
          <w:rFonts w:cstheme="minorHAnsi"/>
          <w:bCs/>
          <w:u w:val="single"/>
          <w:lang w:val="en-GB"/>
        </w:rPr>
      </w:pPr>
    </w:p>
    <w:p w:rsidR="00EA2779" w:rsidRPr="00597DAD" w:rsidRDefault="00B40809" w:rsidP="00597DAD">
      <w:pPr>
        <w:spacing w:after="0"/>
        <w:jc w:val="both"/>
        <w:rPr>
          <w:rFonts w:cstheme="minorHAnsi"/>
          <w:bCs/>
        </w:rPr>
      </w:pPr>
      <w:r w:rsidRPr="00597DAD">
        <w:rPr>
          <w:rFonts w:cstheme="minorHAnsi"/>
        </w:rPr>
        <w:t>On selvää, että paikallis- ja alueviranomaisilla on tärkeä rooli EU:n työllisyys- ja sosiaalipolitiikan suunnittelussa ja täytäntöönpanossa. Covid-19-kriisi on vaikuttanut eri alueisiin hyvin eri tavoin riippuen näiden taloudellisesta rakenteesta ja ihmisten terveyden altistumisesta. Paikallis- ja alueviranomaiset kykenevät auttamaan suunniteltaessa kriisin vastatoimia ja pantaessa niitä täytäntöön. Tällaisissa toimissa on puututtava kriisiä edeltäviin ja sen jälkeisiin sosiaalisen ja alueellisen koheesion haasteisiin. Sen vuoksi paikallis- ja alueviranomaisten osallistuminen on välttämätöntä seuraavin keinoin:</w:t>
      </w:r>
    </w:p>
    <w:p w:rsidR="00CB78E1" w:rsidRPr="00597DAD" w:rsidRDefault="00CB78E1" w:rsidP="00597DAD">
      <w:pPr>
        <w:spacing w:after="0"/>
        <w:jc w:val="both"/>
        <w:rPr>
          <w:rFonts w:cstheme="minorHAnsi"/>
          <w:bCs/>
          <w:u w:val="single"/>
          <w:lang w:val="en-GB"/>
        </w:rPr>
      </w:pPr>
    </w:p>
    <w:p w:rsidR="00CB78E1" w:rsidRPr="00597DAD" w:rsidRDefault="00F771E0" w:rsidP="00597DAD">
      <w:pPr>
        <w:pStyle w:val="ListParagraph"/>
        <w:numPr>
          <w:ilvl w:val="0"/>
          <w:numId w:val="19"/>
        </w:numPr>
        <w:spacing w:after="0" w:line="288" w:lineRule="auto"/>
        <w:ind w:left="360"/>
        <w:jc w:val="both"/>
        <w:rPr>
          <w:rFonts w:asciiTheme="minorHAnsi" w:hAnsiTheme="minorHAnsi" w:cstheme="minorHAnsi"/>
        </w:rPr>
      </w:pPr>
      <w:r w:rsidRPr="00597DAD">
        <w:rPr>
          <w:rFonts w:asciiTheme="minorHAnsi" w:hAnsiTheme="minorHAnsi" w:cstheme="minorHAnsi"/>
        </w:rPr>
        <w:t>AK:n lausunto ”Vahva sosiaalinen Eurooppa oikeudenmukaisten siirtymien toteuttamiseksi” (esittelijä Anne Karjalainen [FI, PES], annettiin AK:n täysistunnossa lokakuussa 2020), joka on AK:n yleinen vastaus komission tiedonantoon</w:t>
      </w:r>
    </w:p>
    <w:p w:rsidR="00176CAE" w:rsidRPr="00597DAD" w:rsidRDefault="00176CAE" w:rsidP="00597DAD">
      <w:pPr>
        <w:pStyle w:val="ListParagraph"/>
        <w:numPr>
          <w:ilvl w:val="0"/>
          <w:numId w:val="19"/>
        </w:numPr>
        <w:spacing w:after="0" w:line="288" w:lineRule="auto"/>
        <w:ind w:left="360"/>
        <w:jc w:val="both"/>
        <w:rPr>
          <w:rFonts w:asciiTheme="minorHAnsi" w:hAnsiTheme="minorHAnsi" w:cstheme="minorHAnsi"/>
        </w:rPr>
      </w:pPr>
      <w:r w:rsidRPr="00597DAD">
        <w:rPr>
          <w:rFonts w:asciiTheme="minorHAnsi" w:hAnsiTheme="minorHAnsi" w:cstheme="minorHAnsi"/>
        </w:rPr>
        <w:t>AK:n lausunto aiheesta ”Tuleva suunnitelma hoitajia ja hoitoalaa varten – Paikalliset ja alueelliset mahdollisuudet eurooppalaiseen haasteeseen vastaamiseksi” (esittelijä ilmoitetaan myöhemmin)</w:t>
      </w:r>
    </w:p>
    <w:p w:rsidR="00F771E0" w:rsidRPr="00597DAD" w:rsidRDefault="00421A56" w:rsidP="00597DAD">
      <w:pPr>
        <w:pStyle w:val="ListParagraph"/>
        <w:numPr>
          <w:ilvl w:val="0"/>
          <w:numId w:val="19"/>
        </w:numPr>
        <w:spacing w:after="0" w:line="288" w:lineRule="auto"/>
        <w:ind w:left="360"/>
        <w:jc w:val="both"/>
        <w:rPr>
          <w:rFonts w:asciiTheme="minorHAnsi" w:hAnsiTheme="minorHAnsi" w:cstheme="minorHAnsi"/>
        </w:rPr>
      </w:pPr>
      <w:r w:rsidRPr="00597DAD">
        <w:rPr>
          <w:rFonts w:asciiTheme="minorHAnsi" w:hAnsiTheme="minorHAnsi" w:cstheme="minorHAnsi"/>
        </w:rPr>
        <w:t xml:space="preserve">vuoden 2020 Euroopan alueiden ja kuntien teemaviikon istunto </w:t>
      </w:r>
      <w:r w:rsidRPr="00597DAD">
        <w:rPr>
          <w:rFonts w:asciiTheme="minorHAnsi" w:hAnsiTheme="minorHAnsi" w:cstheme="minorHAnsi"/>
          <w:color w:val="000000"/>
        </w:rPr>
        <w:t>”Alustatyöntekijöiden sosiaaliturva: haasteita ja mahdollisuuksia”, jossa työllisyys-, sosiaali- ja osallisuusasioiden pääosasto oli mukana</w:t>
      </w:r>
    </w:p>
    <w:p w:rsidR="00512960" w:rsidRPr="00597DAD" w:rsidRDefault="00F5129F" w:rsidP="00597DAD">
      <w:pPr>
        <w:pStyle w:val="ListParagraph"/>
        <w:numPr>
          <w:ilvl w:val="0"/>
          <w:numId w:val="19"/>
        </w:numPr>
        <w:spacing w:after="0" w:line="288" w:lineRule="auto"/>
        <w:ind w:left="360"/>
        <w:jc w:val="both"/>
        <w:rPr>
          <w:rFonts w:asciiTheme="minorHAnsi" w:hAnsiTheme="minorHAnsi" w:cstheme="minorHAnsi"/>
          <w:b/>
          <w:u w:val="single"/>
        </w:rPr>
      </w:pPr>
      <w:r w:rsidRPr="00597DAD">
        <w:rPr>
          <w:rFonts w:asciiTheme="minorHAnsi" w:hAnsiTheme="minorHAnsi" w:cstheme="minorHAnsi"/>
        </w:rPr>
        <w:t>komission ja AK:n yhdessä puheenjohtajavaltio Portugalin kartoittamat tavat, joilla AK voi osallistua sosiaalialan huippukokoukseen, jotta Euroopan sosiaalisten oikeuksien pilarin täytäntöönpanon alueellinen ulottuvuus otetaan huomioon.</w:t>
      </w:r>
    </w:p>
    <w:p w:rsidR="00151730" w:rsidRPr="00597DAD" w:rsidRDefault="00151730" w:rsidP="00597DAD">
      <w:pPr>
        <w:spacing w:after="0"/>
        <w:jc w:val="both"/>
        <w:rPr>
          <w:rFonts w:cstheme="minorHAnsi"/>
          <w:lang w:val="en-GB"/>
        </w:rPr>
      </w:pPr>
    </w:p>
    <w:p w:rsidR="00EA2779" w:rsidRPr="00597DAD" w:rsidRDefault="00EA2779" w:rsidP="00597DAD">
      <w:pPr>
        <w:pStyle w:val="Heading2"/>
        <w:spacing w:after="0"/>
        <w:ind w:left="426" w:hanging="426"/>
        <w:jc w:val="both"/>
        <w:rPr>
          <w:rFonts w:eastAsiaTheme="majorEastAsia" w:cstheme="minorHAnsi"/>
          <w:b/>
          <w:color w:val="365F91" w:themeColor="accent1" w:themeShade="BF"/>
          <w:sz w:val="24"/>
          <w:szCs w:val="32"/>
        </w:rPr>
      </w:pPr>
      <w:r w:rsidRPr="00597DAD">
        <w:rPr>
          <w:rFonts w:cstheme="minorHAnsi"/>
          <w:b/>
          <w:sz w:val="24"/>
          <w:szCs w:val="24"/>
        </w:rPr>
        <w:t>2.2.</w:t>
      </w:r>
      <w:r w:rsidRPr="00597DAD">
        <w:rPr>
          <w:rFonts w:cstheme="minorHAnsi"/>
          <w:b/>
          <w:sz w:val="24"/>
          <w:szCs w:val="24"/>
        </w:rPr>
        <w:tab/>
      </w:r>
      <w:r w:rsidRPr="00597DAD">
        <w:rPr>
          <w:rFonts w:cstheme="minorHAnsi"/>
          <w:b/>
          <w:sz w:val="24"/>
          <w:szCs w:val="32"/>
        </w:rPr>
        <w:t>Euroopan sosiaalirahasto plussan (ESR+) ja REACT-EU-välineen valmistelu nuorisotyöllisyystoimenpiteiden riittävän rahoituksen varmistamiseksi</w:t>
      </w:r>
    </w:p>
    <w:p w:rsidR="00527019" w:rsidRPr="00597DAD" w:rsidRDefault="00527019" w:rsidP="00597DAD">
      <w:pPr>
        <w:keepNext/>
        <w:spacing w:after="0"/>
        <w:jc w:val="both"/>
        <w:rPr>
          <w:rFonts w:cstheme="minorHAnsi"/>
          <w:lang w:val="en-GB"/>
        </w:rPr>
      </w:pPr>
    </w:p>
    <w:p w:rsidR="00527019" w:rsidRPr="00597DAD" w:rsidRDefault="00527019" w:rsidP="00597DAD">
      <w:pPr>
        <w:spacing w:after="0"/>
        <w:jc w:val="both"/>
        <w:rPr>
          <w:rFonts w:cstheme="minorHAnsi"/>
          <w:bCs/>
        </w:rPr>
      </w:pPr>
      <w:r w:rsidRPr="00597DAD">
        <w:rPr>
          <w:rFonts w:cstheme="minorHAnsi"/>
        </w:rPr>
        <w:t xml:space="preserve">Monet paikallis- ja alueviranomaiset ovat tällä hetkellä aktiivisesti mukana tulevien ESR+ </w:t>
      </w:r>
      <w:r w:rsidRPr="00597DAD">
        <w:rPr>
          <w:rFonts w:cstheme="minorHAnsi"/>
        </w:rPr>
        <w:noBreakHyphen/>
        <w:t xml:space="preserve">ohjelmien valmistelussa ja ESR+ </w:t>
      </w:r>
      <w:r w:rsidRPr="00597DAD">
        <w:rPr>
          <w:rFonts w:cstheme="minorHAnsi"/>
        </w:rPr>
        <w:noBreakHyphen/>
        <w:t>rahoituksesta hyötyvien hankkeiden kehittämisessä. ESR+:n osalta komissio on ehdottanut, että nuorisotyöllisyystoimenpiteiden rahoitusta lisättäisiin jäsenvaltioissa, joissa työelämän ja koulutuksen ulkopuolisten nuorten osuus ylittää EU:n keskiarvon.</w:t>
      </w:r>
      <w:r w:rsidR="006E25E8" w:rsidRPr="00597DAD">
        <w:rPr>
          <w:rStyle w:val="FootnoteReference"/>
          <w:rFonts w:cstheme="minorHAnsi"/>
          <w:bCs/>
          <w:sz w:val="24"/>
          <w:szCs w:val="24"/>
          <w:lang w:val="en-GB"/>
        </w:rPr>
        <w:footnoteReference w:id="4"/>
      </w:r>
      <w:r w:rsidRPr="00597DAD">
        <w:rPr>
          <w:rFonts w:cstheme="minorHAnsi"/>
        </w:rPr>
        <w:t xml:space="preserve"> Lisäksi uudella REACT-EU-välineellä voidaan tukea nuorisotyöllisyystoimia. Tarve hyödyntää kaikilta osin tästä lisätuesta saatava hyöty on olennaisen tärkeää ottaen huomioon nykyinen pandemia ja sen mahdolliset vaikutukset nuorisotyöllisyyteen.</w:t>
      </w:r>
    </w:p>
    <w:p w:rsidR="00CB78E1" w:rsidRPr="00597DAD" w:rsidRDefault="00CB78E1" w:rsidP="00597DAD">
      <w:pPr>
        <w:spacing w:after="0"/>
        <w:jc w:val="both"/>
        <w:rPr>
          <w:rFonts w:cstheme="minorHAnsi"/>
          <w:bCs/>
          <w:u w:val="single"/>
          <w:lang w:val="en-GB"/>
        </w:rPr>
      </w:pPr>
    </w:p>
    <w:p w:rsidR="00AE28C2" w:rsidRPr="00597DAD" w:rsidRDefault="00F52BD7" w:rsidP="00597DAD">
      <w:pPr>
        <w:spacing w:after="0"/>
        <w:jc w:val="both"/>
        <w:rPr>
          <w:rFonts w:cstheme="minorHAnsi"/>
          <w:bCs/>
        </w:rPr>
      </w:pPr>
      <w:r w:rsidRPr="00597DAD">
        <w:rPr>
          <w:rFonts w:cstheme="minorHAnsi"/>
        </w:rPr>
        <w:t>AK voisi helpottaa nuorisotyöllisyystoimien tukemiseksi tarjottaviin REACT-EU-välineen ja ESR+:n varoihin liittyvää tietojen ja parhaiden käytäntöjen vaihtoa. Taloudellisella avulla edistetään EU:n kokonaistavoitetta osoittaa vähintään 22 miljardia euroa tämän tavoitteen saavuttamiseksi</w:t>
      </w:r>
      <w:r w:rsidR="008911F1" w:rsidRPr="00597DAD">
        <w:rPr>
          <w:rStyle w:val="FootnoteReference"/>
          <w:rFonts w:cstheme="minorHAnsi"/>
          <w:bCs/>
          <w:sz w:val="24"/>
          <w:szCs w:val="24"/>
          <w:lang w:val="en-GB"/>
        </w:rPr>
        <w:footnoteReference w:id="5"/>
      </w:r>
      <w:r w:rsidRPr="00597DAD">
        <w:rPr>
          <w:rFonts w:cstheme="minorHAnsi"/>
        </w:rPr>
        <w:t>, ja sillä on tarkoitus rahoittaa vahvistettu nuorisotakuu.</w:t>
      </w:r>
      <w:r w:rsidR="008911F1" w:rsidRPr="00597DAD">
        <w:rPr>
          <w:rStyle w:val="FootnoteReference"/>
          <w:rFonts w:cstheme="minorHAnsi"/>
          <w:bCs/>
          <w:sz w:val="24"/>
          <w:szCs w:val="24"/>
          <w:lang w:val="en-GB"/>
        </w:rPr>
        <w:footnoteReference w:id="6"/>
      </w:r>
      <w:r w:rsidRPr="00597DAD">
        <w:rPr>
          <w:rFonts w:cstheme="minorHAnsi"/>
        </w:rPr>
        <w:t xml:space="preserve"> </w:t>
      </w:r>
    </w:p>
    <w:p w:rsidR="00AE28C2" w:rsidRPr="00597DAD" w:rsidRDefault="00AE28C2" w:rsidP="00597DAD">
      <w:pPr>
        <w:spacing w:after="0"/>
        <w:jc w:val="both"/>
        <w:rPr>
          <w:rFonts w:cstheme="minorHAnsi"/>
          <w:bCs/>
          <w:u w:val="single"/>
          <w:lang w:val="en-GB"/>
        </w:rPr>
      </w:pPr>
    </w:p>
    <w:p w:rsidR="006106B7" w:rsidRPr="00597DAD" w:rsidRDefault="002867F1" w:rsidP="00597DAD">
      <w:pPr>
        <w:keepNext/>
        <w:keepLines/>
        <w:spacing w:after="0"/>
        <w:jc w:val="both"/>
        <w:rPr>
          <w:rFonts w:cstheme="minorHAnsi"/>
          <w:bCs/>
        </w:rPr>
      </w:pPr>
      <w:r w:rsidRPr="00597DAD">
        <w:rPr>
          <w:rFonts w:cstheme="minorHAnsi"/>
        </w:rPr>
        <w:t xml:space="preserve">Kumppanuusperiaatteen mukaisesti AK voisi edistää paikallis- ja alueviranomaisten välistä vuoropuhelua kehitettäessä malleja nuorisotyöttömyyden torjumiseksi tiiviissä yhteistyössä työmarkkinaosapuolten kanssa, ja siitä voisi tulla alueiden ja kaupunkien välisen ajatusten ja toimintapolitiikkojen vaihdon foorumi. </w:t>
      </w:r>
    </w:p>
    <w:p w:rsidR="006106B7" w:rsidRPr="00597DAD" w:rsidRDefault="006106B7" w:rsidP="00597DAD">
      <w:pPr>
        <w:spacing w:after="0"/>
        <w:jc w:val="both"/>
        <w:rPr>
          <w:rFonts w:cstheme="minorHAnsi"/>
          <w:bCs/>
          <w:lang w:val="en-GB"/>
        </w:rPr>
      </w:pPr>
    </w:p>
    <w:p w:rsidR="00527019" w:rsidRPr="00597DAD" w:rsidRDefault="006106B7" w:rsidP="00597DAD">
      <w:pPr>
        <w:spacing w:after="0"/>
        <w:jc w:val="both"/>
        <w:rPr>
          <w:rFonts w:cstheme="minorHAnsi"/>
        </w:rPr>
      </w:pPr>
      <w:r w:rsidRPr="00597DAD">
        <w:rPr>
          <w:rFonts w:cstheme="minorHAnsi"/>
        </w:rPr>
        <w:t xml:space="preserve">Näin AK voi toteuttaa mielekkäitä </w:t>
      </w:r>
      <w:r w:rsidRPr="00597DAD">
        <w:rPr>
          <w:rFonts w:cstheme="minorHAnsi"/>
          <w:color w:val="000000"/>
        </w:rPr>
        <w:t>komission tiedonannon</w:t>
      </w:r>
      <w:r w:rsidRPr="00597DAD">
        <w:rPr>
          <w:rFonts w:cstheme="minorHAnsi"/>
        </w:rPr>
        <w:t xml:space="preserve"> ”Nuorisotyöllisyyden tukeminen: silta työelämään seuraavalle sukupolvelle”</w:t>
      </w:r>
      <w:r w:rsidR="00150CCB" w:rsidRPr="00597DAD">
        <w:rPr>
          <w:rStyle w:val="FootnoteReference"/>
          <w:rFonts w:cstheme="minorHAnsi"/>
          <w:sz w:val="24"/>
          <w:szCs w:val="24"/>
          <w:lang w:val="en-GB"/>
        </w:rPr>
        <w:footnoteReference w:id="7"/>
      </w:r>
      <w:r w:rsidRPr="00597DAD">
        <w:rPr>
          <w:rFonts w:cstheme="minorHAnsi"/>
        </w:rPr>
        <w:t xml:space="preserve"> jatkotoimia, ja työllisyys-, sosiaali- ja osallisuusasioiden pääosaston ja AK:n välisiä kokouksia voidaan edelleen pitää. </w:t>
      </w:r>
    </w:p>
    <w:p w:rsidR="00F165DD" w:rsidRPr="00597DAD" w:rsidRDefault="00F165DD" w:rsidP="00597DAD">
      <w:pPr>
        <w:spacing w:after="0"/>
        <w:jc w:val="both"/>
        <w:rPr>
          <w:rFonts w:cstheme="minorHAnsi"/>
          <w:bCs/>
          <w:lang w:val="en-GB"/>
        </w:rPr>
      </w:pPr>
    </w:p>
    <w:p w:rsidR="00CB78E1" w:rsidRPr="00597DAD" w:rsidRDefault="00CB78E1" w:rsidP="00597DAD">
      <w:pPr>
        <w:pStyle w:val="Heading2"/>
        <w:spacing w:after="0"/>
        <w:ind w:left="567" w:hanging="567"/>
        <w:jc w:val="both"/>
        <w:rPr>
          <w:rFonts w:eastAsiaTheme="majorEastAsia" w:cstheme="minorHAnsi"/>
          <w:b/>
          <w:color w:val="365F91" w:themeColor="accent1" w:themeShade="BF"/>
          <w:sz w:val="24"/>
          <w:szCs w:val="32"/>
        </w:rPr>
      </w:pPr>
      <w:r w:rsidRPr="00597DAD">
        <w:rPr>
          <w:rFonts w:cstheme="minorHAnsi"/>
          <w:b/>
          <w:sz w:val="24"/>
          <w:szCs w:val="24"/>
        </w:rPr>
        <w:t xml:space="preserve">2.3. </w:t>
      </w:r>
      <w:r w:rsidRPr="00597DAD">
        <w:rPr>
          <w:rFonts w:cstheme="minorHAnsi"/>
          <w:b/>
          <w:sz w:val="24"/>
          <w:szCs w:val="24"/>
        </w:rPr>
        <w:tab/>
      </w:r>
      <w:r w:rsidRPr="00597DAD">
        <w:rPr>
          <w:rFonts w:cstheme="minorHAnsi"/>
          <w:b/>
          <w:sz w:val="24"/>
          <w:szCs w:val="32"/>
        </w:rPr>
        <w:t xml:space="preserve">Osaamisohjelma </w:t>
      </w:r>
    </w:p>
    <w:p w:rsidR="006106B7" w:rsidRPr="00597DAD" w:rsidRDefault="006106B7" w:rsidP="00597DAD">
      <w:pPr>
        <w:keepNext/>
        <w:spacing w:after="0"/>
        <w:jc w:val="both"/>
        <w:rPr>
          <w:rFonts w:eastAsiaTheme="majorEastAsia" w:cstheme="minorHAnsi"/>
          <w:lang w:val="en-GB"/>
        </w:rPr>
      </w:pPr>
    </w:p>
    <w:p w:rsidR="006106B7" w:rsidRPr="00597DAD" w:rsidRDefault="00EE2DE9" w:rsidP="00597DAD">
      <w:pPr>
        <w:spacing w:after="0"/>
        <w:jc w:val="both"/>
        <w:rPr>
          <w:rFonts w:cstheme="minorHAnsi"/>
        </w:rPr>
      </w:pPr>
      <w:r w:rsidRPr="00597DAD">
        <w:rPr>
          <w:rFonts w:cstheme="minorHAnsi"/>
        </w:rPr>
        <w:t>Pandemian vaikutus työtapoihimme ja rinnakkainen vihreä ja digitaalinen siirtymä muuttavat voimakkaasti EU:n osaamiseen liittyvää ajattelutapaa. Sen vuoksi on erittäin tärkeää edistää ja yhdistää osaamisen paikallista näkökulmaa, kuten todetaan äskettäin annetussa Euroopan osaamisohjelmassa kestävän kilpailukyvyn, sosiaalisen oikeudenmukaisuuden ja selviytymis- ja palautumiskyvyn tueksi.</w:t>
      </w:r>
      <w:r w:rsidR="002867F1" w:rsidRPr="00597DAD">
        <w:rPr>
          <w:rStyle w:val="FootnoteReference"/>
          <w:rFonts w:cstheme="minorHAnsi"/>
          <w:bCs/>
          <w:sz w:val="24"/>
          <w:szCs w:val="24"/>
          <w:lang w:val="en-GB"/>
        </w:rPr>
        <w:footnoteReference w:id="8"/>
      </w:r>
      <w:r w:rsidRPr="00597DAD">
        <w:rPr>
          <w:rFonts w:cstheme="minorHAnsi"/>
        </w:rPr>
        <w:t xml:space="preserve"> Paikallisella tasolla tehtävällä työllä voidaan maksimoida paikallisten kumppaneiden, kuten pienten ja keskisuurten yritysten, osallistuminen, ja samalla voidaan ymmärtää paremmin paikallisten työmarkkinoiden tarpeita ja selvittää muihin paikallisiin ja alueellisiin strategioihin liittyviä synergioita. Lisäksi paikallis- ja aluetason näkökulmalla voitaisiin auttaa luomaan laadullisia ennakkoarvioita ja määrällisiä osaamisennusteita, jotka puolestaan voivat kehittyä osaamisen ennakointimalliksi tai menetelmäksi, jota voidaan käyttää tulevassa suunnittelussa tai politiikan muotoilussa.</w:t>
      </w:r>
    </w:p>
    <w:p w:rsidR="006106B7" w:rsidRPr="00597DAD" w:rsidRDefault="006106B7" w:rsidP="00597DAD">
      <w:pPr>
        <w:spacing w:after="0"/>
        <w:jc w:val="both"/>
        <w:rPr>
          <w:rFonts w:cstheme="minorHAnsi"/>
          <w:bCs/>
          <w:lang w:val="en-GB"/>
        </w:rPr>
      </w:pPr>
    </w:p>
    <w:p w:rsidR="00421A56" w:rsidRPr="00597DAD" w:rsidRDefault="00150CCB" w:rsidP="00597DAD">
      <w:pPr>
        <w:spacing w:after="0"/>
        <w:jc w:val="both"/>
        <w:rPr>
          <w:rFonts w:cstheme="minorHAnsi"/>
          <w:bCs/>
        </w:rPr>
      </w:pPr>
      <w:r w:rsidRPr="00597DAD">
        <w:rPr>
          <w:rFonts w:cstheme="minorHAnsi"/>
        </w:rPr>
        <w:t>Yhteistyötä voidaan lisätä seuraavilla tavoilla:</w:t>
      </w:r>
    </w:p>
    <w:p w:rsidR="000A7400" w:rsidRPr="00597DAD" w:rsidRDefault="000A7400" w:rsidP="00597DAD">
      <w:pPr>
        <w:pStyle w:val="ListParagraph"/>
        <w:spacing w:after="0" w:line="288" w:lineRule="auto"/>
        <w:ind w:left="360"/>
        <w:jc w:val="both"/>
        <w:rPr>
          <w:rStyle w:val="normaltextrun"/>
          <w:rFonts w:asciiTheme="minorHAnsi" w:hAnsiTheme="minorHAnsi" w:cstheme="minorHAnsi"/>
        </w:rPr>
      </w:pPr>
    </w:p>
    <w:p w:rsidR="000A7400" w:rsidRPr="00597DAD" w:rsidRDefault="00151730" w:rsidP="00597DAD">
      <w:pPr>
        <w:pStyle w:val="ListParagraph"/>
        <w:numPr>
          <w:ilvl w:val="0"/>
          <w:numId w:val="32"/>
        </w:numPr>
        <w:spacing w:after="0" w:line="288" w:lineRule="auto"/>
        <w:jc w:val="both"/>
        <w:rPr>
          <w:rStyle w:val="normaltextrun"/>
          <w:rFonts w:asciiTheme="minorHAnsi" w:hAnsiTheme="minorHAnsi" w:cstheme="minorHAnsi"/>
        </w:rPr>
      </w:pPr>
      <w:r w:rsidRPr="00597DAD">
        <w:rPr>
          <w:rStyle w:val="normaltextrun"/>
          <w:rFonts w:asciiTheme="minorHAnsi" w:hAnsiTheme="minorHAnsi" w:cstheme="minorHAnsi"/>
        </w:rPr>
        <w:t>Edistetään yhdessä osaamissopimusta niin, että alueet voivat luoda kumppanuuksia teollisuuden ja koulutuksen tarjoajien kanssa paikallisen väestön osaamisen kehittämiseksi ja väestön uudelleenkouluttamiseksi.</w:t>
      </w:r>
    </w:p>
    <w:p w:rsidR="000A7400" w:rsidRPr="00597DAD" w:rsidRDefault="000A7400" w:rsidP="00597DAD">
      <w:pPr>
        <w:pStyle w:val="ListParagraph"/>
        <w:spacing w:after="0" w:line="288" w:lineRule="auto"/>
        <w:ind w:left="360"/>
        <w:jc w:val="both"/>
        <w:rPr>
          <w:rStyle w:val="normaltextrun"/>
          <w:rFonts w:asciiTheme="minorHAnsi" w:hAnsiTheme="minorHAnsi" w:cstheme="minorHAnsi"/>
        </w:rPr>
      </w:pPr>
    </w:p>
    <w:p w:rsidR="00421A56" w:rsidRPr="00597DAD" w:rsidRDefault="000A7400" w:rsidP="00597DAD">
      <w:pPr>
        <w:pStyle w:val="ListParagraph"/>
        <w:numPr>
          <w:ilvl w:val="0"/>
          <w:numId w:val="32"/>
        </w:numPr>
        <w:spacing w:after="0" w:line="288" w:lineRule="auto"/>
        <w:jc w:val="both"/>
        <w:rPr>
          <w:rStyle w:val="normaltextrun"/>
          <w:rFonts w:asciiTheme="minorHAnsi" w:hAnsiTheme="minorHAnsi" w:cstheme="minorHAnsi"/>
        </w:rPr>
      </w:pPr>
      <w:r w:rsidRPr="00597DAD">
        <w:rPr>
          <w:rStyle w:val="normaltextrun"/>
          <w:rFonts w:asciiTheme="minorHAnsi" w:hAnsiTheme="minorHAnsi" w:cstheme="minorHAnsi"/>
        </w:rPr>
        <w:t>Järjestetään yhteistyössä työllisyys-, sosiaali- ja osallisuusasioiden pääosaston kanssa oppisopimuskoulutusta käsittelevä korkean tason konferenssi, jonka nimenä on ”Kuntien ja alueiden rooli laadukkaan oppisopimuskoulutuksen tarjoamisessa”. Konferenssi covid-19-pandemian vuoksi suunniteltu pidettäväksi keväällä 2021:</w:t>
      </w:r>
    </w:p>
    <w:p w:rsidR="000A7400" w:rsidRPr="00597DAD" w:rsidRDefault="000A7400" w:rsidP="00597DAD">
      <w:pPr>
        <w:spacing w:after="0"/>
        <w:jc w:val="both"/>
        <w:rPr>
          <w:rStyle w:val="normaltextrun"/>
          <w:rFonts w:cstheme="minorHAnsi"/>
          <w:lang w:val="en-GB"/>
        </w:rPr>
      </w:pPr>
    </w:p>
    <w:tbl>
      <w:tblPr>
        <w:tblW w:w="0" w:type="auto"/>
        <w:tblInd w:w="416" w:type="dxa"/>
        <w:tblCellMar>
          <w:left w:w="0" w:type="dxa"/>
          <w:right w:w="0" w:type="dxa"/>
        </w:tblCellMar>
        <w:tblLook w:val="04A0" w:firstRow="1" w:lastRow="0" w:firstColumn="1" w:lastColumn="0" w:noHBand="0" w:noVBand="1"/>
      </w:tblPr>
      <w:tblGrid>
        <w:gridCol w:w="2703"/>
        <w:gridCol w:w="3817"/>
        <w:gridCol w:w="2069"/>
      </w:tblGrid>
      <w:tr w:rsidR="007C0020" w:rsidRPr="00597DAD">
        <w:tc>
          <w:tcPr>
            <w:tcW w:w="2703" w:type="dxa"/>
            <w:tcBorders>
              <w:top w:val="single" w:sz="8" w:space="0" w:color="auto"/>
              <w:left w:val="single" w:sz="8" w:space="0" w:color="auto"/>
              <w:bottom w:val="single" w:sz="8" w:space="0" w:color="auto"/>
              <w:right w:val="single" w:sz="8" w:space="0" w:color="auto"/>
            </w:tcBorders>
            <w:shd w:val="clear" w:color="auto" w:fill="5B9BD5"/>
            <w:tcMar>
              <w:top w:w="0" w:type="dxa"/>
              <w:left w:w="108" w:type="dxa"/>
              <w:bottom w:w="0" w:type="dxa"/>
              <w:right w:w="108" w:type="dxa"/>
            </w:tcMar>
            <w:hideMark/>
          </w:tcPr>
          <w:p w:rsidR="000A7400" w:rsidRPr="00597DAD" w:rsidRDefault="000A7400" w:rsidP="00597DAD">
            <w:pPr>
              <w:keepNext/>
              <w:keepLines/>
              <w:spacing w:after="0"/>
              <w:jc w:val="both"/>
              <w:rPr>
                <w:rFonts w:cstheme="minorHAnsi"/>
                <w:b/>
                <w:bCs/>
                <w:color w:val="FFFFFF"/>
              </w:rPr>
            </w:pPr>
            <w:r w:rsidRPr="00597DAD">
              <w:rPr>
                <w:rFonts w:cstheme="minorHAnsi"/>
                <w:b/>
                <w:bCs/>
                <w:color w:val="FFFFFF"/>
              </w:rPr>
              <w:t>Ajankohta</w:t>
            </w:r>
          </w:p>
        </w:tc>
        <w:tc>
          <w:tcPr>
            <w:tcW w:w="3817"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597DAD" w:rsidRDefault="000A7400" w:rsidP="00597DAD">
            <w:pPr>
              <w:keepNext/>
              <w:keepLines/>
              <w:spacing w:after="0"/>
              <w:jc w:val="both"/>
              <w:rPr>
                <w:rFonts w:cstheme="minorHAnsi"/>
                <w:b/>
                <w:bCs/>
                <w:color w:val="FFFFFF"/>
              </w:rPr>
            </w:pPr>
            <w:r w:rsidRPr="00597DAD">
              <w:rPr>
                <w:rFonts w:cstheme="minorHAnsi"/>
                <w:b/>
                <w:bCs/>
                <w:color w:val="FFFFFF"/>
              </w:rPr>
              <w:t>Verkkoseminaari/konferenssi</w:t>
            </w:r>
          </w:p>
        </w:tc>
        <w:tc>
          <w:tcPr>
            <w:tcW w:w="2069"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597DAD" w:rsidRDefault="000A7400" w:rsidP="00597DAD">
            <w:pPr>
              <w:keepNext/>
              <w:keepLines/>
              <w:spacing w:after="0"/>
              <w:jc w:val="both"/>
              <w:rPr>
                <w:rFonts w:cstheme="minorHAnsi"/>
                <w:b/>
                <w:bCs/>
                <w:color w:val="FFFFFF"/>
              </w:rPr>
            </w:pPr>
            <w:r w:rsidRPr="00597DAD">
              <w:rPr>
                <w:rFonts w:cstheme="minorHAnsi"/>
                <w:b/>
                <w:bCs/>
                <w:color w:val="FFFFFF"/>
              </w:rPr>
              <w:t>Aihe</w:t>
            </w:r>
          </w:p>
        </w:tc>
      </w:tr>
      <w:tr w:rsidR="007C0020" w:rsidRPr="00597DAD">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597DAD" w:rsidRDefault="000A7400" w:rsidP="00597DAD">
            <w:pPr>
              <w:keepNext/>
              <w:keepLines/>
              <w:spacing w:after="0"/>
              <w:jc w:val="both"/>
              <w:rPr>
                <w:rFonts w:cstheme="minorHAnsi"/>
              </w:rPr>
            </w:pPr>
            <w:r w:rsidRPr="00597DAD">
              <w:rPr>
                <w:rFonts w:cstheme="minorHAnsi"/>
              </w:rPr>
              <w:t>Tiistaina 29. syyskuuta 2020</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597DAD" w:rsidRDefault="000A7400" w:rsidP="00597DAD">
            <w:pPr>
              <w:keepNext/>
              <w:keepLines/>
              <w:spacing w:after="0"/>
              <w:jc w:val="both"/>
              <w:rPr>
                <w:rFonts w:cstheme="minorHAnsi"/>
              </w:rPr>
            </w:pPr>
            <w:r w:rsidRPr="00597DAD">
              <w:rPr>
                <w:rFonts w:cstheme="minorHAnsi"/>
              </w:rPr>
              <w:t xml:space="preserve">Ensimmäinen verkkoseminaari: </w:t>
            </w:r>
            <w:r w:rsidRPr="00597DAD">
              <w:rPr>
                <w:rFonts w:cstheme="minorHAnsi"/>
                <w:i/>
                <w:iCs/>
              </w:rPr>
              <w:t>Covid-19-taudin vaikutus oppisopimus</w:t>
            </w:r>
            <w:r w:rsidR="00597DAD">
              <w:rPr>
                <w:rFonts w:cstheme="minorHAnsi"/>
                <w:i/>
                <w:iCs/>
              </w:rPr>
              <w:softHyphen/>
            </w:r>
            <w:r w:rsidRPr="00597DAD">
              <w:rPr>
                <w:rFonts w:cstheme="minorHAnsi"/>
                <w:i/>
                <w:iCs/>
              </w:rPr>
              <w:t>koulutukseen – alueiden ja kuntien rooli</w:t>
            </w:r>
            <w:r w:rsidRPr="00597DAD">
              <w:rPr>
                <w:rFonts w:cstheme="minorHAnsi"/>
              </w:rPr>
              <w:t xml:space="preserve"> </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597DAD" w:rsidRDefault="000A7400" w:rsidP="00597DAD">
            <w:pPr>
              <w:keepNext/>
              <w:keepLines/>
              <w:spacing w:after="0"/>
              <w:jc w:val="both"/>
              <w:rPr>
                <w:rFonts w:cstheme="minorHAnsi"/>
              </w:rPr>
            </w:pPr>
            <w:r w:rsidRPr="00597DAD">
              <w:rPr>
                <w:rFonts w:cstheme="minorHAnsi"/>
              </w:rPr>
              <w:t>Painopisteenä covid-19-torjuntatoimet</w:t>
            </w:r>
          </w:p>
        </w:tc>
      </w:tr>
      <w:tr w:rsidR="007C0020" w:rsidRPr="00597DAD">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597DAD" w:rsidRDefault="000A7400" w:rsidP="00597DAD">
            <w:pPr>
              <w:keepNext/>
              <w:keepLines/>
              <w:spacing w:after="0"/>
              <w:jc w:val="both"/>
              <w:rPr>
                <w:rFonts w:cstheme="minorHAnsi"/>
              </w:rPr>
            </w:pPr>
            <w:r w:rsidRPr="00597DAD">
              <w:rPr>
                <w:rFonts w:cstheme="minorHAnsi"/>
              </w:rPr>
              <w:t>Tammi- tai helmikuussa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597DAD" w:rsidRDefault="000A7400" w:rsidP="00597DAD">
            <w:pPr>
              <w:keepNext/>
              <w:keepLines/>
              <w:spacing w:after="0"/>
              <w:jc w:val="both"/>
              <w:rPr>
                <w:rFonts w:cstheme="minorHAnsi"/>
              </w:rPr>
            </w:pPr>
            <w:r w:rsidRPr="00597DAD">
              <w:rPr>
                <w:rFonts w:cstheme="minorHAnsi"/>
              </w:rPr>
              <w:t xml:space="preserve">Toinen verkkoseminaari: </w:t>
            </w:r>
            <w:r w:rsidRPr="00597DAD">
              <w:rPr>
                <w:rFonts w:cstheme="minorHAnsi"/>
                <w:i/>
                <w:iCs/>
              </w:rPr>
              <w:t>Rinnakkainen siirtymä: kaupunkien rooli laadukkaan oppisopimuskoulutuksen tarjoamisessa</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597DAD" w:rsidRDefault="000A7400" w:rsidP="00597DAD">
            <w:pPr>
              <w:keepNext/>
              <w:keepLines/>
              <w:spacing w:after="0"/>
              <w:jc w:val="both"/>
              <w:rPr>
                <w:rFonts w:cstheme="minorHAnsi"/>
              </w:rPr>
            </w:pPr>
            <w:r w:rsidRPr="00597DAD">
              <w:rPr>
                <w:rFonts w:cstheme="minorHAnsi"/>
              </w:rPr>
              <w:t>Painopisteenä rinnakkainen vihreä ja digitaalinen siirtymä</w:t>
            </w:r>
          </w:p>
        </w:tc>
      </w:tr>
      <w:tr w:rsidR="007C0020" w:rsidRPr="00597DAD">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597DAD" w:rsidRDefault="000A7400" w:rsidP="00597DAD">
            <w:pPr>
              <w:keepNext/>
              <w:keepLines/>
              <w:spacing w:after="0"/>
              <w:jc w:val="both"/>
              <w:rPr>
                <w:rFonts w:cstheme="minorHAnsi"/>
              </w:rPr>
            </w:pPr>
            <w:r w:rsidRPr="00597DAD">
              <w:rPr>
                <w:rFonts w:cstheme="minorHAnsi"/>
              </w:rPr>
              <w:t>Maalis- tai huhtikuussa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597DAD" w:rsidRDefault="000A7400" w:rsidP="00597DAD">
            <w:pPr>
              <w:keepNext/>
              <w:keepLines/>
              <w:spacing w:after="0"/>
              <w:jc w:val="both"/>
              <w:rPr>
                <w:rFonts w:cstheme="minorHAnsi"/>
              </w:rPr>
            </w:pPr>
            <w:r w:rsidRPr="00597DAD">
              <w:rPr>
                <w:rFonts w:cstheme="minorHAnsi"/>
              </w:rPr>
              <w:t xml:space="preserve">Kolmas verkkoseminaari: </w:t>
            </w:r>
            <w:r w:rsidRPr="00597DAD">
              <w:rPr>
                <w:rFonts w:cstheme="minorHAnsi"/>
                <w:i/>
                <w:iCs/>
              </w:rPr>
              <w:t>Rinnakkainen siirtymä: alueiden rooli laadukkaan oppisopimuskoulutuksen tarjoamisessa</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597DAD" w:rsidRDefault="000A7400" w:rsidP="00597DAD">
            <w:pPr>
              <w:keepNext/>
              <w:keepLines/>
              <w:spacing w:after="0"/>
              <w:jc w:val="both"/>
              <w:rPr>
                <w:rFonts w:cstheme="minorHAnsi"/>
              </w:rPr>
            </w:pPr>
            <w:r w:rsidRPr="00597DAD">
              <w:rPr>
                <w:rFonts w:cstheme="minorHAnsi"/>
              </w:rPr>
              <w:t xml:space="preserve">Painopisteenä rinnakkainen vihreä ja digitaalinen siirtymä </w:t>
            </w:r>
          </w:p>
        </w:tc>
      </w:tr>
      <w:tr w:rsidR="007C0020" w:rsidRPr="00597DAD">
        <w:tc>
          <w:tcPr>
            <w:tcW w:w="2703"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rsidR="000A7400" w:rsidRPr="00597DAD" w:rsidRDefault="000A7400" w:rsidP="00597DAD">
            <w:pPr>
              <w:keepNext/>
              <w:keepLines/>
              <w:spacing w:after="0"/>
              <w:jc w:val="both"/>
              <w:rPr>
                <w:rFonts w:cstheme="minorHAnsi"/>
              </w:rPr>
            </w:pPr>
            <w:r w:rsidRPr="00597DAD">
              <w:rPr>
                <w:rFonts w:cstheme="minorHAnsi"/>
              </w:rPr>
              <w:t>3. ja 4. kesäkuuta 2021 (vahvistetaan myöhemmin)</w:t>
            </w:r>
          </w:p>
        </w:tc>
        <w:tc>
          <w:tcPr>
            <w:tcW w:w="3817"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597DAD" w:rsidRDefault="000A7400" w:rsidP="00597DAD">
            <w:pPr>
              <w:keepNext/>
              <w:keepLines/>
              <w:spacing w:after="0"/>
              <w:jc w:val="both"/>
              <w:rPr>
                <w:rFonts w:cstheme="minorHAnsi"/>
              </w:rPr>
            </w:pPr>
            <w:r w:rsidRPr="00597DAD">
              <w:rPr>
                <w:rFonts w:cstheme="minorHAnsi"/>
              </w:rPr>
              <w:t xml:space="preserve">Pääkonferenssi </w:t>
            </w:r>
          </w:p>
        </w:tc>
        <w:tc>
          <w:tcPr>
            <w:tcW w:w="206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597DAD" w:rsidRDefault="000A7400" w:rsidP="00597DAD">
            <w:pPr>
              <w:keepNext/>
              <w:keepLines/>
              <w:spacing w:after="0"/>
              <w:jc w:val="both"/>
              <w:rPr>
                <w:rFonts w:cstheme="minorHAnsi"/>
              </w:rPr>
            </w:pPr>
            <w:r w:rsidRPr="00597DAD">
              <w:rPr>
                <w:rFonts w:cstheme="minorHAnsi"/>
              </w:rPr>
              <w:t>Vahvistettava</w:t>
            </w:r>
          </w:p>
        </w:tc>
      </w:tr>
      <w:tr w:rsidR="007C0020" w:rsidRPr="00597DAD">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597DAD" w:rsidRDefault="000A7400" w:rsidP="00597DAD">
            <w:pPr>
              <w:keepNext/>
              <w:keepLines/>
              <w:spacing w:after="0"/>
              <w:jc w:val="both"/>
              <w:rPr>
                <w:rFonts w:cstheme="minorHAnsi"/>
              </w:rPr>
            </w:pPr>
            <w:r w:rsidRPr="00597DAD">
              <w:rPr>
                <w:rFonts w:cstheme="minorHAnsi"/>
              </w:rPr>
              <w:t>Vahvistettava</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597DAD" w:rsidRDefault="000A7400" w:rsidP="00597DAD">
            <w:pPr>
              <w:keepNext/>
              <w:keepLines/>
              <w:spacing w:after="0"/>
              <w:jc w:val="both"/>
              <w:rPr>
                <w:rFonts w:cstheme="minorHAnsi"/>
              </w:rPr>
            </w:pPr>
            <w:r w:rsidRPr="00597DAD">
              <w:rPr>
                <w:rFonts w:cstheme="minorHAnsi"/>
              </w:rPr>
              <w:t>Seurantakokoukset (verkossa)</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597DAD" w:rsidRDefault="000A7400" w:rsidP="00597DAD">
            <w:pPr>
              <w:keepNext/>
              <w:keepLines/>
              <w:spacing w:after="0"/>
              <w:jc w:val="both"/>
              <w:rPr>
                <w:rFonts w:cstheme="minorHAnsi"/>
              </w:rPr>
            </w:pPr>
            <w:r w:rsidRPr="00597DAD">
              <w:rPr>
                <w:rFonts w:cstheme="minorHAnsi"/>
              </w:rPr>
              <w:t>Vahvistettava</w:t>
            </w:r>
          </w:p>
        </w:tc>
      </w:tr>
    </w:tbl>
    <w:p w:rsidR="002D435E" w:rsidRPr="00597DAD" w:rsidRDefault="002D435E" w:rsidP="00597DAD">
      <w:pPr>
        <w:pStyle w:val="ListParagraph"/>
        <w:spacing w:after="0" w:line="288" w:lineRule="auto"/>
        <w:ind w:left="360"/>
        <w:jc w:val="both"/>
        <w:rPr>
          <w:rStyle w:val="normaltextrun"/>
          <w:rFonts w:asciiTheme="minorHAnsi" w:hAnsiTheme="minorHAnsi" w:cstheme="minorHAnsi"/>
        </w:rPr>
      </w:pPr>
    </w:p>
    <w:p w:rsidR="002D435E" w:rsidRPr="00597DAD" w:rsidRDefault="00151730" w:rsidP="00597DAD">
      <w:pPr>
        <w:pStyle w:val="ListParagraph"/>
        <w:numPr>
          <w:ilvl w:val="0"/>
          <w:numId w:val="32"/>
        </w:numPr>
        <w:spacing w:after="0" w:line="288" w:lineRule="auto"/>
        <w:jc w:val="both"/>
        <w:rPr>
          <w:rFonts w:asciiTheme="minorHAnsi" w:hAnsiTheme="minorHAnsi" w:cstheme="minorHAnsi"/>
        </w:rPr>
      </w:pPr>
      <w:r w:rsidRPr="00597DAD">
        <w:rPr>
          <w:rFonts w:asciiTheme="minorHAnsi" w:hAnsiTheme="minorHAnsi" w:cstheme="minorHAnsi"/>
        </w:rPr>
        <w:t xml:space="preserve">Yhteistyötä kehitetään edelleen valmisteltaessa lausuntoa aiheesta ”Euroopan osaamisohjelma kestävän kilpailukyvyn, sosiaalisen oikeudenmukaisuuden ja mukautumisvalmiuksien edistämiseksi” (esittelijä Csaba Borboly [RO, PPE]). </w:t>
      </w:r>
    </w:p>
    <w:p w:rsidR="00F165DD" w:rsidRPr="00597DAD" w:rsidRDefault="00F165DD" w:rsidP="00597DAD">
      <w:pPr>
        <w:pStyle w:val="ListParagraph"/>
        <w:spacing w:after="0" w:line="288" w:lineRule="auto"/>
        <w:ind w:left="360"/>
        <w:jc w:val="both"/>
        <w:rPr>
          <w:rFonts w:asciiTheme="minorHAnsi" w:hAnsiTheme="minorHAnsi" w:cstheme="minorHAnsi"/>
        </w:rPr>
      </w:pPr>
    </w:p>
    <w:p w:rsidR="00176CAE" w:rsidRPr="00597DAD" w:rsidRDefault="00151730" w:rsidP="00597DAD">
      <w:pPr>
        <w:pStyle w:val="ListParagraph"/>
        <w:numPr>
          <w:ilvl w:val="0"/>
          <w:numId w:val="32"/>
        </w:numPr>
        <w:spacing w:after="0" w:line="288" w:lineRule="auto"/>
        <w:jc w:val="both"/>
        <w:rPr>
          <w:rFonts w:asciiTheme="minorHAnsi" w:hAnsiTheme="minorHAnsi" w:cstheme="minorHAnsi"/>
        </w:rPr>
      </w:pPr>
      <w:r w:rsidRPr="00597DAD">
        <w:rPr>
          <w:rFonts w:asciiTheme="minorHAnsi" w:hAnsiTheme="minorHAnsi" w:cstheme="minorHAnsi"/>
        </w:rPr>
        <w:t>Eurooppalaiseen oppisopimusyhteenliittymään liittyvä yhteistyö. AK ja eurooppalainen oppisopimusyhteenliittymä voisivat jatkaa työtä uudistetun eurooppalaisen oppisopimusyhteenliittymän yhden painopisteen parissa: ”otetaan mukaan paikallis- ja alueviranomaiset vauhdittamaan oppisopimuskoulutusta paikallisessa yritysympäristössä”. Eräs esimerkki tästä on uuden oppisopimuksiin keskittyvän kaupunkiverkoston (</w:t>
      </w:r>
      <w:r w:rsidRPr="00597DAD">
        <w:rPr>
          <w:rFonts w:asciiTheme="minorHAnsi" w:hAnsiTheme="minorHAnsi" w:cstheme="minorHAnsi"/>
          <w:i/>
          <w:iCs/>
        </w:rPr>
        <w:t>Cities Network for Apprenticeships</w:t>
      </w:r>
      <w:r w:rsidRPr="00597DAD">
        <w:rPr>
          <w:rFonts w:asciiTheme="minorHAnsi" w:hAnsiTheme="minorHAnsi" w:cstheme="minorHAnsi"/>
        </w:rPr>
        <w:t xml:space="preserve">) </w:t>
      </w:r>
      <w:bookmarkStart w:id="0" w:name="_GoBack"/>
      <w:bookmarkEnd w:id="0"/>
      <w:r w:rsidRPr="00597DAD">
        <w:rPr>
          <w:rFonts w:asciiTheme="minorHAnsi" w:hAnsiTheme="minorHAnsi" w:cstheme="minorHAnsi"/>
        </w:rPr>
        <w:t>osallistuminen eurooppalaisen oppisopimusyhteenliittymän ja AK:n yhteisiin verkkoseminaareihin. Yksi verkoston päätavoitteista on lisätä tietoisuutta mahdollisuuksista, joilla kaupungit voivat tukea oppisopimuskoulutusta. Viime kädessä kaupungit voivat verkoston kautta oppia toisiltaan, tehdä yhteistyötä, kehittää välineitä, jakaa hyviä käytäntöjä sekä tarjota ja vastaanottaa teknistä ja poliittista apua.   </w:t>
      </w:r>
    </w:p>
    <w:p w:rsidR="00C34231" w:rsidRPr="00597DAD" w:rsidRDefault="00C34231" w:rsidP="00597DAD">
      <w:pPr>
        <w:spacing w:after="0"/>
        <w:jc w:val="both"/>
        <w:rPr>
          <w:rFonts w:eastAsiaTheme="majorEastAsia" w:cstheme="minorHAnsi"/>
          <w:lang w:val="en-GB"/>
        </w:rPr>
      </w:pPr>
    </w:p>
    <w:p w:rsidR="003D64D4" w:rsidRPr="00597DAD" w:rsidRDefault="00025C0A" w:rsidP="00597DAD">
      <w:pPr>
        <w:pStyle w:val="Heading2"/>
        <w:spacing w:after="0"/>
        <w:ind w:left="567" w:hanging="567"/>
        <w:jc w:val="both"/>
        <w:rPr>
          <w:rFonts w:eastAsiaTheme="majorEastAsia" w:cstheme="minorHAnsi"/>
          <w:b/>
          <w:color w:val="365F91" w:themeColor="accent1" w:themeShade="BF"/>
          <w:sz w:val="24"/>
          <w:szCs w:val="32"/>
        </w:rPr>
      </w:pPr>
      <w:r w:rsidRPr="00597DAD">
        <w:rPr>
          <w:rFonts w:cstheme="minorHAnsi"/>
          <w:b/>
          <w:sz w:val="24"/>
          <w:szCs w:val="24"/>
        </w:rPr>
        <w:t xml:space="preserve">2.4. </w:t>
      </w:r>
      <w:r w:rsidRPr="00597DAD">
        <w:rPr>
          <w:rFonts w:cstheme="minorHAnsi"/>
          <w:b/>
          <w:sz w:val="24"/>
          <w:szCs w:val="24"/>
        </w:rPr>
        <w:tab/>
      </w:r>
      <w:r w:rsidRPr="00597DAD">
        <w:rPr>
          <w:rFonts w:cstheme="minorHAnsi"/>
          <w:b/>
          <w:sz w:val="24"/>
          <w:szCs w:val="32"/>
        </w:rPr>
        <w:t>EU:n tukemien Euroopan paikallisten työpaikkamessujen malli paikallisen työllisyyden tukemiseksi</w:t>
      </w:r>
    </w:p>
    <w:p w:rsidR="00CE5349" w:rsidRPr="00597DAD" w:rsidRDefault="00CE5349" w:rsidP="00597DAD">
      <w:pPr>
        <w:keepNext/>
        <w:spacing w:after="0"/>
        <w:jc w:val="both"/>
        <w:rPr>
          <w:rFonts w:cstheme="minorHAnsi"/>
          <w:lang w:val="en-GB"/>
        </w:rPr>
      </w:pPr>
    </w:p>
    <w:p w:rsidR="00CC2877" w:rsidRPr="00597DAD" w:rsidRDefault="00394636" w:rsidP="00597DAD">
      <w:pPr>
        <w:spacing w:after="0"/>
        <w:jc w:val="both"/>
        <w:rPr>
          <w:rFonts w:cstheme="minorHAnsi"/>
        </w:rPr>
      </w:pPr>
      <w:r w:rsidRPr="00597DAD">
        <w:rPr>
          <w:rFonts w:cstheme="minorHAnsi"/>
        </w:rPr>
        <w:t xml:space="preserve">Työpaikkojen ja osaamisen kohtaamisen parantamiseksi on sovittu, että tarkastellaan mahdollisuuksia järjestää yhdessä Euroopan paikallisia työpaikkamessuja eri puolilla Eurooppaa. Thessalonikin on määrä ilmoittautua Euroopan paikallisten työpaikkamessujen järjestäjäksi mahdollisimman pian. Tällaisesta tapahtumasta voisi tulla malli vastaavanlaisille tapahtumille muilla EU:n alueilla. AK ja työllisyys-, sosiaali- ja osallisuusasioiden pääosasto tekevät yhteistyötä mallin ja täytäntöönpanon osalta, mukaan lukien kehittäminen, kumppanit ja rahoitus, joista sovitaan erikseen. </w:t>
      </w:r>
    </w:p>
    <w:p w:rsidR="00FE1A83" w:rsidRPr="00597DAD" w:rsidRDefault="00FE1A83" w:rsidP="00597DAD">
      <w:pPr>
        <w:spacing w:after="0"/>
        <w:jc w:val="both"/>
        <w:rPr>
          <w:rFonts w:cstheme="minorHAnsi"/>
          <w:lang w:val="en-GB"/>
        </w:rPr>
      </w:pPr>
    </w:p>
    <w:p w:rsidR="00DC5206" w:rsidRPr="00597DAD" w:rsidRDefault="00455FAA" w:rsidP="00597DAD">
      <w:pPr>
        <w:pStyle w:val="Heading3"/>
        <w:keepNext/>
        <w:keepLines/>
        <w:spacing w:after="0"/>
        <w:jc w:val="both"/>
        <w:rPr>
          <w:rFonts w:cstheme="minorHAnsi"/>
          <w:color w:val="365F91" w:themeColor="accent1" w:themeShade="BF"/>
        </w:rPr>
      </w:pPr>
      <w:r w:rsidRPr="00597DAD">
        <w:rPr>
          <w:rFonts w:cstheme="minorHAnsi"/>
          <w:b/>
          <w:sz w:val="24"/>
          <w:szCs w:val="24"/>
        </w:rPr>
        <w:t>2.4.1.</w:t>
      </w:r>
      <w:r w:rsidRPr="00597DAD">
        <w:rPr>
          <w:rFonts w:cstheme="minorHAnsi"/>
          <w:b/>
          <w:sz w:val="24"/>
          <w:szCs w:val="24"/>
        </w:rPr>
        <w:tab/>
        <w:t>Nykyiset toimet</w:t>
      </w:r>
    </w:p>
    <w:p w:rsidR="00CC2877" w:rsidRPr="00597DAD" w:rsidRDefault="00CC2877" w:rsidP="00597DAD">
      <w:pPr>
        <w:keepNext/>
        <w:keepLines/>
        <w:spacing w:after="0"/>
        <w:jc w:val="both"/>
        <w:rPr>
          <w:rFonts w:cstheme="minorHAnsi"/>
          <w:lang w:val="en-GB"/>
        </w:rPr>
      </w:pPr>
    </w:p>
    <w:p w:rsidR="00CC2877" w:rsidRPr="00597DAD" w:rsidRDefault="00DF7306" w:rsidP="00597DAD">
      <w:pPr>
        <w:pStyle w:val="ListParagraph"/>
        <w:keepNext/>
        <w:keepLines/>
        <w:numPr>
          <w:ilvl w:val="0"/>
          <w:numId w:val="35"/>
        </w:numPr>
        <w:spacing w:after="0" w:line="288" w:lineRule="auto"/>
        <w:jc w:val="both"/>
        <w:rPr>
          <w:rFonts w:asciiTheme="minorHAnsi" w:hAnsiTheme="minorHAnsi" w:cstheme="minorHAnsi"/>
        </w:rPr>
      </w:pPr>
      <w:r w:rsidRPr="00597DAD">
        <w:rPr>
          <w:rFonts w:asciiTheme="minorHAnsi" w:hAnsiTheme="minorHAnsi" w:cstheme="minorHAnsi"/>
        </w:rPr>
        <w:t>Euroopan työnvälitysverkosto (EURES) järjestää jo Euroopan työpaikkapäiviä, joilla edistetään työvoiman liikkuvuutta EU:ssa yhteensovittamalla hakijoiden osaamista ja muiden jäsenvaltioiden työnantajien tarpeita (tällaisten liikkuvuustapahtumien toistaminen ei toisi lisäarvoa).</w:t>
      </w:r>
    </w:p>
    <w:p w:rsidR="00CC2877" w:rsidRPr="00597DAD" w:rsidRDefault="00501E02" w:rsidP="00597DAD">
      <w:pPr>
        <w:pStyle w:val="ListParagraph"/>
        <w:numPr>
          <w:ilvl w:val="0"/>
          <w:numId w:val="35"/>
        </w:numPr>
        <w:spacing w:after="0" w:line="288" w:lineRule="auto"/>
        <w:jc w:val="both"/>
        <w:rPr>
          <w:rFonts w:asciiTheme="minorHAnsi" w:hAnsiTheme="minorHAnsi" w:cstheme="minorHAnsi"/>
        </w:rPr>
      </w:pPr>
      <w:r w:rsidRPr="00597DAD">
        <w:rPr>
          <w:rFonts w:asciiTheme="minorHAnsi" w:hAnsiTheme="minorHAnsi" w:cstheme="minorHAnsi"/>
        </w:rPr>
        <w:t>Useilla EU:n hankkeilla pyritään torjumaan työttömyyttä, ja lisäksi on olemassa kansallisia ohjelmia, joilla on sama tavoite.</w:t>
      </w:r>
    </w:p>
    <w:p w:rsidR="00CC2877" w:rsidRPr="00597DAD" w:rsidRDefault="002867F1" w:rsidP="00597DAD">
      <w:pPr>
        <w:pStyle w:val="ListParagraph"/>
        <w:numPr>
          <w:ilvl w:val="0"/>
          <w:numId w:val="35"/>
        </w:numPr>
        <w:spacing w:after="0" w:line="288" w:lineRule="auto"/>
        <w:jc w:val="both"/>
        <w:rPr>
          <w:rFonts w:asciiTheme="minorHAnsi" w:hAnsiTheme="minorHAnsi" w:cstheme="minorHAnsi"/>
        </w:rPr>
      </w:pPr>
      <w:r w:rsidRPr="00597DAD">
        <w:rPr>
          <w:rFonts w:asciiTheme="minorHAnsi" w:hAnsiTheme="minorHAnsi" w:cstheme="minorHAnsi"/>
        </w:rPr>
        <w:t>ESR ja tuleva ESR+ ovat tärkeitä välineitä paikallisten työllisyysstrategioiden rahoittamisessa sekä koulutuksen, osaamisen kehittämisen ja uudelleenkoulutuksen edistämisessä.</w:t>
      </w:r>
    </w:p>
    <w:p w:rsidR="00CC2877" w:rsidRPr="00597DAD" w:rsidRDefault="00DF7306" w:rsidP="00597DAD">
      <w:pPr>
        <w:numPr>
          <w:ilvl w:val="0"/>
          <w:numId w:val="35"/>
        </w:numPr>
        <w:spacing w:after="0"/>
        <w:jc w:val="both"/>
        <w:rPr>
          <w:rFonts w:eastAsia="Times New Roman" w:cstheme="minorHAnsi"/>
          <w:sz w:val="24"/>
          <w:szCs w:val="24"/>
        </w:rPr>
      </w:pPr>
      <w:r w:rsidRPr="00597DAD">
        <w:rPr>
          <w:rFonts w:cstheme="minorHAnsi"/>
        </w:rPr>
        <w:t xml:space="preserve">Työllisyyttä ja sosiaalista innovointia koskevassa Euroopan unionin ohjelmassa (EaSI) </w:t>
      </w:r>
      <w:r w:rsidR="00597DAD">
        <w:rPr>
          <w:rFonts w:cstheme="minorHAnsi"/>
        </w:rPr>
        <w:br/>
      </w:r>
      <w:r w:rsidRPr="00597DAD">
        <w:rPr>
          <w:rFonts w:cstheme="minorHAnsi"/>
        </w:rPr>
        <w:t>(2014–2020) on kolme lohkoa (työllisyys- ja sosiaalipalvelujen nykyaikaistamisen Progress-lohko, työvoiman liikkuvuuden EURES-lohko ja mikrorahoituksen ja sosiaalisen yrittäjyyden lohko, jolla tarjotaan mikrolainoja ja mikroluottoja heikossa asemassa oleville ryhmille ja yrityksille ja tuetaan sosiaalista yrittäjyyttä). InvestEU-ohjelmalla tarjotaan samanlaisia mahdollisuuksia vuodesta 2021 alkaen.</w:t>
      </w:r>
    </w:p>
    <w:p w:rsidR="00FE1A83" w:rsidRPr="00597DAD" w:rsidRDefault="00FE1A83" w:rsidP="00597DAD">
      <w:pPr>
        <w:spacing w:after="0"/>
        <w:jc w:val="both"/>
        <w:rPr>
          <w:rFonts w:cstheme="minorHAnsi"/>
          <w:lang w:val="en-GB"/>
        </w:rPr>
      </w:pPr>
    </w:p>
    <w:p w:rsidR="00CC2877" w:rsidRPr="00597DAD" w:rsidRDefault="00455FAA" w:rsidP="00597DAD">
      <w:pPr>
        <w:pStyle w:val="Heading3"/>
        <w:spacing w:after="0"/>
        <w:jc w:val="both"/>
        <w:rPr>
          <w:rFonts w:eastAsiaTheme="majorEastAsia" w:cstheme="minorHAnsi"/>
          <w:b/>
          <w:color w:val="365F91" w:themeColor="accent1" w:themeShade="BF"/>
          <w:sz w:val="24"/>
          <w:szCs w:val="32"/>
        </w:rPr>
      </w:pPr>
      <w:r w:rsidRPr="00597DAD">
        <w:rPr>
          <w:rFonts w:cstheme="minorHAnsi"/>
          <w:b/>
          <w:sz w:val="24"/>
          <w:szCs w:val="24"/>
        </w:rPr>
        <w:t>2.4.2.</w:t>
      </w:r>
      <w:r w:rsidRPr="00597DAD">
        <w:rPr>
          <w:rFonts w:cstheme="minorHAnsi"/>
          <w:b/>
          <w:sz w:val="24"/>
          <w:szCs w:val="24"/>
        </w:rPr>
        <w:tab/>
      </w:r>
      <w:r w:rsidRPr="00597DAD">
        <w:rPr>
          <w:rFonts w:cstheme="minorHAnsi"/>
          <w:b/>
          <w:sz w:val="24"/>
          <w:szCs w:val="32"/>
        </w:rPr>
        <w:t>Euroopan paikallisten työpaikkamessujen tuoma lisäarvo</w:t>
      </w:r>
    </w:p>
    <w:p w:rsidR="00CC2877" w:rsidRPr="00597DAD" w:rsidRDefault="00CC2877" w:rsidP="00597DAD">
      <w:pPr>
        <w:keepNext/>
        <w:spacing w:after="0"/>
        <w:jc w:val="both"/>
        <w:rPr>
          <w:rFonts w:cstheme="minorHAnsi"/>
          <w:lang w:val="en-GB"/>
        </w:rPr>
      </w:pPr>
    </w:p>
    <w:p w:rsidR="00CC2877" w:rsidRPr="00597DAD" w:rsidRDefault="00CC2877" w:rsidP="00597DAD">
      <w:pPr>
        <w:pStyle w:val="ListParagraph"/>
        <w:spacing w:after="0" w:line="288" w:lineRule="auto"/>
        <w:ind w:left="0"/>
        <w:jc w:val="both"/>
        <w:rPr>
          <w:rFonts w:asciiTheme="minorHAnsi" w:hAnsiTheme="minorHAnsi" w:cstheme="minorHAnsi"/>
        </w:rPr>
      </w:pPr>
      <w:r w:rsidRPr="00597DAD">
        <w:rPr>
          <w:rFonts w:asciiTheme="minorHAnsi" w:hAnsiTheme="minorHAnsi" w:cstheme="minorHAnsi"/>
        </w:rPr>
        <w:t>Kun otetaan huomioon jo olemassa olevat EU:n aloitteet ja muut aloitteet, Euroopan paikallisten työpaikkamessujen erityinen lisäarvo olisi seuraavan lainen:</w:t>
      </w:r>
    </w:p>
    <w:p w:rsidR="00100433" w:rsidRPr="00597DAD" w:rsidRDefault="00100433" w:rsidP="00597DAD">
      <w:pPr>
        <w:pStyle w:val="ListParagraph"/>
        <w:spacing w:after="0" w:line="288" w:lineRule="auto"/>
        <w:ind w:left="0"/>
        <w:jc w:val="both"/>
        <w:rPr>
          <w:rFonts w:asciiTheme="minorHAnsi" w:hAnsiTheme="minorHAnsi" w:cstheme="minorHAnsi"/>
        </w:rPr>
      </w:pPr>
    </w:p>
    <w:p w:rsidR="00100433" w:rsidRPr="00597DAD" w:rsidRDefault="00100433" w:rsidP="00597DAD">
      <w:pPr>
        <w:pStyle w:val="ListParagraph"/>
        <w:numPr>
          <w:ilvl w:val="0"/>
          <w:numId w:val="35"/>
        </w:numPr>
        <w:spacing w:after="0" w:line="288" w:lineRule="auto"/>
        <w:jc w:val="both"/>
        <w:rPr>
          <w:rFonts w:asciiTheme="minorHAnsi" w:hAnsiTheme="minorHAnsi" w:cstheme="minorHAnsi"/>
        </w:rPr>
      </w:pPr>
      <w:r w:rsidRPr="00597DAD">
        <w:rPr>
          <w:rFonts w:asciiTheme="minorHAnsi" w:hAnsiTheme="minorHAnsi" w:cstheme="minorHAnsi"/>
        </w:rPr>
        <w:t>EU:n nykyisten paikallisen, kansallisen ja EU:n tason palvelujen esitteleminen työntekijöille</w:t>
      </w:r>
    </w:p>
    <w:p w:rsidR="0002399B" w:rsidRPr="00597DAD" w:rsidRDefault="0002399B" w:rsidP="00597DAD">
      <w:pPr>
        <w:pStyle w:val="ListParagraph"/>
        <w:numPr>
          <w:ilvl w:val="0"/>
          <w:numId w:val="35"/>
        </w:numPr>
        <w:spacing w:after="0" w:line="288" w:lineRule="auto"/>
        <w:jc w:val="both"/>
        <w:rPr>
          <w:rFonts w:asciiTheme="minorHAnsi" w:hAnsiTheme="minorHAnsi" w:cstheme="minorHAnsi"/>
        </w:rPr>
      </w:pPr>
      <w:r w:rsidRPr="00597DAD">
        <w:rPr>
          <w:rFonts w:asciiTheme="minorHAnsi" w:hAnsiTheme="minorHAnsi" w:cstheme="minorHAnsi"/>
        </w:rPr>
        <w:t>uusien osaamisen ja työllisyyden paikallisen tason ja EU:n tason suuntausten esitteleminen</w:t>
      </w:r>
    </w:p>
    <w:p w:rsidR="00100433" w:rsidRPr="00597DAD" w:rsidRDefault="00100433" w:rsidP="00597DAD">
      <w:pPr>
        <w:pStyle w:val="ListParagraph"/>
        <w:numPr>
          <w:ilvl w:val="0"/>
          <w:numId w:val="35"/>
        </w:numPr>
        <w:spacing w:after="0" w:line="288" w:lineRule="auto"/>
        <w:jc w:val="both"/>
        <w:rPr>
          <w:rFonts w:asciiTheme="minorHAnsi" w:hAnsiTheme="minorHAnsi" w:cstheme="minorHAnsi"/>
        </w:rPr>
      </w:pPr>
      <w:r w:rsidRPr="00597DAD">
        <w:rPr>
          <w:rFonts w:asciiTheme="minorHAnsi" w:hAnsiTheme="minorHAnsi" w:cstheme="minorHAnsi"/>
        </w:rPr>
        <w:t>niiden EU:n järjestelmien esitteleminen, joilla tuetaan paikallisia ja alueellisia työllisyysstrategioita tulevien ESR-ohjelmien käynnissä olevat ohjelmasuunnittelutoimet huomioon ottaen</w:t>
      </w:r>
    </w:p>
    <w:p w:rsidR="00100433" w:rsidRPr="00597DAD" w:rsidRDefault="00100433" w:rsidP="00597DAD">
      <w:pPr>
        <w:pStyle w:val="ListParagraph"/>
        <w:numPr>
          <w:ilvl w:val="0"/>
          <w:numId w:val="35"/>
        </w:numPr>
        <w:spacing w:after="0" w:line="288" w:lineRule="auto"/>
        <w:jc w:val="both"/>
        <w:rPr>
          <w:rFonts w:asciiTheme="minorHAnsi" w:hAnsiTheme="minorHAnsi" w:cstheme="minorHAnsi"/>
        </w:rPr>
      </w:pPr>
      <w:r w:rsidRPr="00597DAD">
        <w:rPr>
          <w:rFonts w:asciiTheme="minorHAnsi" w:hAnsiTheme="minorHAnsi" w:cstheme="minorHAnsi"/>
        </w:rPr>
        <w:t xml:space="preserve">EU:n eri politiikkojen ja ohjelmien välisten yhteyksien osoittaminen nuorten näkökulmasta </w:t>
      </w:r>
    </w:p>
    <w:p w:rsidR="00C97045" w:rsidRPr="00597DAD" w:rsidRDefault="00100433" w:rsidP="00597DAD">
      <w:pPr>
        <w:pStyle w:val="ListParagraph"/>
        <w:numPr>
          <w:ilvl w:val="0"/>
          <w:numId w:val="35"/>
        </w:numPr>
        <w:spacing w:after="0" w:line="288" w:lineRule="auto"/>
        <w:jc w:val="both"/>
        <w:rPr>
          <w:rFonts w:asciiTheme="minorHAnsi" w:hAnsiTheme="minorHAnsi" w:cstheme="minorHAnsi"/>
        </w:rPr>
      </w:pPr>
      <w:r w:rsidRPr="00597DAD">
        <w:rPr>
          <w:rFonts w:asciiTheme="minorHAnsi" w:hAnsiTheme="minorHAnsi" w:cstheme="minorHAnsi"/>
        </w:rPr>
        <w:t>kansalaisten kanssa käytävän vuoropuhelun perustan luominen EU:n sosiaalisesta ulottuvuudesta ja siitä, miten se vaikuttaa paikallisen ja alueellisen työllisyyden keinoihin</w:t>
      </w:r>
    </w:p>
    <w:p w:rsidR="00100433" w:rsidRPr="00597DAD" w:rsidRDefault="00C97045" w:rsidP="00597DAD">
      <w:pPr>
        <w:pStyle w:val="ListParagraph"/>
        <w:numPr>
          <w:ilvl w:val="0"/>
          <w:numId w:val="35"/>
        </w:numPr>
        <w:spacing w:after="0" w:line="288" w:lineRule="auto"/>
        <w:jc w:val="both"/>
        <w:rPr>
          <w:rFonts w:asciiTheme="minorHAnsi" w:hAnsiTheme="minorHAnsi" w:cstheme="minorHAnsi"/>
        </w:rPr>
      </w:pPr>
      <w:r w:rsidRPr="00597DAD">
        <w:rPr>
          <w:rFonts w:asciiTheme="minorHAnsi" w:hAnsiTheme="minorHAnsi" w:cstheme="minorHAnsi"/>
        </w:rPr>
        <w:t>paikallisen työpaikkojen ja osaamisen yhteensovittamisen tukeminen EU:lta tällaisiin paikallisiin tapahtumiin saatavalla rahoituksella.</w:t>
      </w:r>
    </w:p>
    <w:p w:rsidR="00FE1A83" w:rsidRPr="00597DAD" w:rsidRDefault="00FE1A83" w:rsidP="00597DAD">
      <w:pPr>
        <w:spacing w:after="0"/>
        <w:jc w:val="both"/>
        <w:rPr>
          <w:rFonts w:cstheme="minorHAnsi"/>
          <w:lang w:val="en-GB"/>
        </w:rPr>
      </w:pPr>
    </w:p>
    <w:p w:rsidR="00F165DD" w:rsidRPr="00597DAD" w:rsidRDefault="001A2D75" w:rsidP="00597DAD">
      <w:pPr>
        <w:spacing w:after="0"/>
        <w:jc w:val="both"/>
        <w:rPr>
          <w:rFonts w:cstheme="minorHAnsi"/>
        </w:rPr>
      </w:pPr>
      <w:r w:rsidRPr="00597DAD">
        <w:rPr>
          <w:rFonts w:cstheme="minorHAnsi"/>
        </w:rPr>
        <w:t>Tässä vaiheessa on tärkeää järjestää tällaisia messuja osana covid-19-pandemian elvytystoimia. Siksi on erittäin tärkeää käynnistää poliittinen vuoropuhelu työmarkkinaosapuolten johtavien edustajien kanssa konsepteista ja strategioista, joilla vastataan nykyisiin työllisyyshaasteisiin, ja ottaa mukaan AK:n jäseniä ja EU:n edustajia.</w:t>
      </w:r>
    </w:p>
    <w:p w:rsidR="00FE1A83" w:rsidRPr="00597DAD" w:rsidRDefault="00FE1A83" w:rsidP="00597DAD">
      <w:pPr>
        <w:spacing w:after="0"/>
        <w:jc w:val="both"/>
        <w:rPr>
          <w:rFonts w:cstheme="minorHAnsi"/>
          <w:lang w:val="en-GB"/>
        </w:rPr>
      </w:pPr>
    </w:p>
    <w:p w:rsidR="00100433" w:rsidRPr="00597DAD" w:rsidRDefault="00455FAA" w:rsidP="00597DAD">
      <w:pPr>
        <w:pStyle w:val="Heading3"/>
        <w:spacing w:after="0"/>
        <w:ind w:left="709" w:hanging="709"/>
        <w:jc w:val="both"/>
        <w:rPr>
          <w:rFonts w:eastAsiaTheme="majorEastAsia" w:cstheme="minorHAnsi"/>
          <w:b/>
          <w:color w:val="365F91" w:themeColor="accent1" w:themeShade="BF"/>
          <w:sz w:val="24"/>
          <w:szCs w:val="32"/>
        </w:rPr>
      </w:pPr>
      <w:r w:rsidRPr="00597DAD">
        <w:rPr>
          <w:rFonts w:cstheme="minorHAnsi"/>
          <w:b/>
          <w:sz w:val="24"/>
          <w:szCs w:val="24"/>
        </w:rPr>
        <w:t>2.4.3.</w:t>
      </w:r>
      <w:r w:rsidRPr="00597DAD">
        <w:rPr>
          <w:rFonts w:cstheme="minorHAnsi"/>
          <w:b/>
          <w:sz w:val="24"/>
          <w:szCs w:val="24"/>
        </w:rPr>
        <w:tab/>
      </w:r>
      <w:r w:rsidRPr="00597DAD">
        <w:rPr>
          <w:rFonts w:cstheme="minorHAnsi"/>
          <w:b/>
          <w:sz w:val="24"/>
          <w:szCs w:val="32"/>
        </w:rPr>
        <w:t>Euroopan paikallisten työpaikkamessujen kohderyhmä</w:t>
      </w:r>
    </w:p>
    <w:p w:rsidR="0002399B" w:rsidRPr="00597DAD" w:rsidRDefault="0002399B" w:rsidP="00597DAD">
      <w:pPr>
        <w:keepNext/>
        <w:spacing w:after="0"/>
        <w:jc w:val="both"/>
        <w:rPr>
          <w:rFonts w:cstheme="minorHAnsi"/>
          <w:lang w:val="en-GB"/>
        </w:rPr>
      </w:pPr>
    </w:p>
    <w:p w:rsidR="0002399B" w:rsidRPr="00597DAD" w:rsidRDefault="0002399B" w:rsidP="00597DAD">
      <w:pPr>
        <w:spacing w:after="0"/>
        <w:jc w:val="both"/>
        <w:rPr>
          <w:rFonts w:cstheme="minorHAnsi"/>
        </w:rPr>
      </w:pPr>
      <w:r w:rsidRPr="00597DAD">
        <w:rPr>
          <w:rFonts w:cstheme="minorHAnsi"/>
        </w:rPr>
        <w:t>Euroopan paikallisten työpaikkamessujen kohderyhmään voisivat kuulua</w:t>
      </w:r>
    </w:p>
    <w:p w:rsidR="0002399B" w:rsidRPr="00597DAD" w:rsidRDefault="0002399B" w:rsidP="00597DAD">
      <w:pPr>
        <w:spacing w:after="0"/>
        <w:jc w:val="both"/>
        <w:rPr>
          <w:rFonts w:cstheme="minorHAnsi"/>
          <w:lang w:val="en-GB"/>
        </w:rPr>
      </w:pPr>
    </w:p>
    <w:p w:rsidR="0002399B" w:rsidRPr="00597DAD" w:rsidRDefault="0002399B" w:rsidP="00597DAD">
      <w:pPr>
        <w:pStyle w:val="ListParagraph"/>
        <w:numPr>
          <w:ilvl w:val="0"/>
          <w:numId w:val="33"/>
        </w:numPr>
        <w:spacing w:after="0" w:line="288" w:lineRule="auto"/>
        <w:ind w:left="360"/>
        <w:jc w:val="both"/>
        <w:rPr>
          <w:rFonts w:asciiTheme="minorHAnsi" w:hAnsiTheme="minorHAnsi" w:cstheme="minorHAnsi"/>
        </w:rPr>
      </w:pPr>
      <w:r w:rsidRPr="00597DAD">
        <w:rPr>
          <w:rFonts w:asciiTheme="minorHAnsi" w:hAnsiTheme="minorHAnsi" w:cstheme="minorHAnsi"/>
        </w:rPr>
        <w:t>työnhakijat, erityisesti opiskelijat ja vastavalmistuneet</w:t>
      </w:r>
    </w:p>
    <w:p w:rsidR="0002399B" w:rsidRPr="00597DAD" w:rsidRDefault="0002399B" w:rsidP="00597DAD">
      <w:pPr>
        <w:pStyle w:val="ListParagraph"/>
        <w:numPr>
          <w:ilvl w:val="0"/>
          <w:numId w:val="33"/>
        </w:numPr>
        <w:spacing w:after="0" w:line="288" w:lineRule="auto"/>
        <w:ind w:left="360"/>
        <w:jc w:val="both"/>
        <w:rPr>
          <w:rFonts w:asciiTheme="minorHAnsi" w:hAnsiTheme="minorHAnsi" w:cstheme="minorHAnsi"/>
        </w:rPr>
      </w:pPr>
      <w:r w:rsidRPr="00597DAD">
        <w:rPr>
          <w:rFonts w:asciiTheme="minorHAnsi" w:hAnsiTheme="minorHAnsi" w:cstheme="minorHAnsi"/>
        </w:rPr>
        <w:t>paikalliset ja alueelliset julkiset työvoimapalvelut</w:t>
      </w:r>
    </w:p>
    <w:p w:rsidR="0002399B" w:rsidRPr="00597DAD" w:rsidRDefault="0002399B" w:rsidP="00597DAD">
      <w:pPr>
        <w:pStyle w:val="ListParagraph"/>
        <w:numPr>
          <w:ilvl w:val="0"/>
          <w:numId w:val="33"/>
        </w:numPr>
        <w:spacing w:after="0" w:line="288" w:lineRule="auto"/>
        <w:ind w:left="360"/>
        <w:jc w:val="both"/>
        <w:rPr>
          <w:rFonts w:asciiTheme="minorHAnsi" w:hAnsiTheme="minorHAnsi" w:cstheme="minorHAnsi"/>
        </w:rPr>
      </w:pPr>
      <w:r w:rsidRPr="00597DAD">
        <w:rPr>
          <w:rFonts w:asciiTheme="minorHAnsi" w:hAnsiTheme="minorHAnsi" w:cstheme="minorHAnsi"/>
        </w:rPr>
        <w:t>koulutus, uudelleenkoulutus ja työnvälitystoimistot</w:t>
      </w:r>
    </w:p>
    <w:p w:rsidR="0002399B" w:rsidRPr="00597DAD" w:rsidRDefault="0002399B" w:rsidP="00597DAD">
      <w:pPr>
        <w:pStyle w:val="ListParagraph"/>
        <w:numPr>
          <w:ilvl w:val="0"/>
          <w:numId w:val="33"/>
        </w:numPr>
        <w:spacing w:after="0" w:line="288" w:lineRule="auto"/>
        <w:ind w:left="360"/>
        <w:jc w:val="both"/>
        <w:rPr>
          <w:rFonts w:asciiTheme="minorHAnsi" w:hAnsiTheme="minorHAnsi" w:cstheme="minorHAnsi"/>
        </w:rPr>
      </w:pPr>
      <w:r w:rsidRPr="00597DAD">
        <w:rPr>
          <w:rFonts w:asciiTheme="minorHAnsi" w:hAnsiTheme="minorHAnsi" w:cstheme="minorHAnsi"/>
        </w:rPr>
        <w:t>työmarkkinaosapuolet, koulutuslaitokset</w:t>
      </w:r>
    </w:p>
    <w:p w:rsidR="0002399B" w:rsidRPr="00597DAD" w:rsidRDefault="0002399B" w:rsidP="00597DAD">
      <w:pPr>
        <w:pStyle w:val="ListParagraph"/>
        <w:numPr>
          <w:ilvl w:val="0"/>
          <w:numId w:val="33"/>
        </w:numPr>
        <w:spacing w:after="0" w:line="288" w:lineRule="auto"/>
        <w:ind w:left="360"/>
        <w:jc w:val="both"/>
        <w:rPr>
          <w:rFonts w:asciiTheme="minorHAnsi" w:hAnsiTheme="minorHAnsi" w:cstheme="minorHAnsi"/>
        </w:rPr>
      </w:pPr>
      <w:r w:rsidRPr="00597DAD">
        <w:rPr>
          <w:rFonts w:asciiTheme="minorHAnsi" w:hAnsiTheme="minorHAnsi" w:cstheme="minorHAnsi"/>
        </w:rPr>
        <w:t>paikallis- ja alueviranomaiset sekä poliittiset päättäjät</w:t>
      </w:r>
    </w:p>
    <w:p w:rsidR="0002399B" w:rsidRPr="00597DAD" w:rsidRDefault="0002399B" w:rsidP="00597DAD">
      <w:pPr>
        <w:pStyle w:val="ListParagraph"/>
        <w:numPr>
          <w:ilvl w:val="0"/>
          <w:numId w:val="33"/>
        </w:numPr>
        <w:spacing w:after="0" w:line="288" w:lineRule="auto"/>
        <w:ind w:left="360"/>
        <w:jc w:val="both"/>
        <w:rPr>
          <w:rFonts w:asciiTheme="minorHAnsi" w:hAnsiTheme="minorHAnsi" w:cstheme="minorHAnsi"/>
        </w:rPr>
      </w:pPr>
      <w:r w:rsidRPr="00597DAD">
        <w:rPr>
          <w:rFonts w:asciiTheme="minorHAnsi" w:hAnsiTheme="minorHAnsi" w:cstheme="minorHAnsi"/>
        </w:rPr>
        <w:t>paikalliset ja alueelliset tiedotusvälineet.</w:t>
      </w:r>
    </w:p>
    <w:p w:rsidR="00FE1A83" w:rsidRPr="00597DAD" w:rsidRDefault="00FE1A83" w:rsidP="00597DAD">
      <w:pPr>
        <w:spacing w:after="0"/>
        <w:jc w:val="both"/>
        <w:rPr>
          <w:rFonts w:cstheme="minorHAnsi"/>
          <w:lang w:val="en-GB"/>
        </w:rPr>
      </w:pPr>
    </w:p>
    <w:p w:rsidR="0002399B" w:rsidRPr="00597DAD" w:rsidRDefault="00455FAA" w:rsidP="00597DAD">
      <w:pPr>
        <w:pStyle w:val="Heading3"/>
        <w:tabs>
          <w:tab w:val="left" w:pos="567"/>
        </w:tabs>
        <w:spacing w:after="0"/>
        <w:jc w:val="both"/>
        <w:rPr>
          <w:rFonts w:cstheme="minorHAnsi"/>
          <w:color w:val="365F91" w:themeColor="accent1" w:themeShade="BF"/>
        </w:rPr>
      </w:pPr>
      <w:r w:rsidRPr="00597DAD">
        <w:rPr>
          <w:rFonts w:cstheme="minorHAnsi"/>
          <w:b/>
          <w:sz w:val="24"/>
          <w:szCs w:val="24"/>
        </w:rPr>
        <w:t>2.4.4.</w:t>
      </w:r>
      <w:r w:rsidRPr="00597DAD">
        <w:rPr>
          <w:rFonts w:cstheme="minorHAnsi"/>
          <w:b/>
          <w:sz w:val="24"/>
          <w:szCs w:val="24"/>
        </w:rPr>
        <w:tab/>
        <w:t>Mahdolliset kumppanit ja täytäntöönpano</w:t>
      </w:r>
    </w:p>
    <w:p w:rsidR="0002399B" w:rsidRPr="00597DAD" w:rsidRDefault="0002399B" w:rsidP="00597DAD">
      <w:pPr>
        <w:keepNext/>
        <w:spacing w:after="0"/>
        <w:jc w:val="both"/>
        <w:rPr>
          <w:rFonts w:cstheme="minorHAnsi"/>
          <w:lang w:val="en-GB"/>
        </w:rPr>
      </w:pPr>
    </w:p>
    <w:p w:rsidR="0002399B" w:rsidRPr="00597DAD" w:rsidRDefault="00E0617C" w:rsidP="00597DAD">
      <w:pPr>
        <w:spacing w:after="0"/>
        <w:jc w:val="both"/>
        <w:rPr>
          <w:rFonts w:cstheme="minorHAnsi"/>
        </w:rPr>
      </w:pPr>
      <w:r w:rsidRPr="00597DAD">
        <w:rPr>
          <w:rFonts w:cstheme="minorHAnsi"/>
        </w:rPr>
        <w:t>Euroopan paikalliset työpaikkamessut onnistuvat parhaiten, kun oikeat kumppanit ovat alusta alkaen mukana niin, että voidaan varmistaa niiden asianmukainen panos. Seuraavat kumppanit voisivat osallistua:</w:t>
      </w:r>
    </w:p>
    <w:p w:rsidR="0002399B" w:rsidRPr="00597DAD" w:rsidRDefault="0002399B" w:rsidP="00597DAD">
      <w:pPr>
        <w:spacing w:after="0"/>
        <w:jc w:val="both"/>
        <w:rPr>
          <w:rFonts w:cstheme="minorHAnsi"/>
          <w:lang w:val="en-GB"/>
        </w:rPr>
      </w:pPr>
    </w:p>
    <w:p w:rsidR="0002399B" w:rsidRPr="00597DAD" w:rsidRDefault="00E0617C" w:rsidP="00597DAD">
      <w:pPr>
        <w:pStyle w:val="ListParagraph"/>
        <w:numPr>
          <w:ilvl w:val="0"/>
          <w:numId w:val="40"/>
        </w:numPr>
        <w:spacing w:after="0" w:line="288" w:lineRule="auto"/>
        <w:jc w:val="both"/>
        <w:rPr>
          <w:rFonts w:asciiTheme="minorHAnsi" w:hAnsiTheme="minorHAnsi" w:cstheme="minorHAnsi"/>
        </w:rPr>
      </w:pPr>
      <w:r w:rsidRPr="00597DAD">
        <w:rPr>
          <w:rFonts w:asciiTheme="minorHAnsi" w:hAnsiTheme="minorHAnsi" w:cstheme="minorHAnsi"/>
          <w:u w:val="single"/>
        </w:rPr>
        <w:t>paikallinen taso</w:t>
      </w:r>
      <w:r w:rsidRPr="00597DAD">
        <w:rPr>
          <w:rFonts w:asciiTheme="minorHAnsi" w:hAnsiTheme="minorHAnsi" w:cstheme="minorHAnsi"/>
        </w:rPr>
        <w:t>: muun muassa viranomaiset, kauppakamarit, elinkeinoyhdistykset, työntekijäjärjestöt, kansalaisyhteiskunta, oppilaitokset ja korkeakoulut</w:t>
      </w:r>
    </w:p>
    <w:p w:rsidR="0002399B" w:rsidRPr="00597DAD" w:rsidRDefault="00E0617C" w:rsidP="00597DAD">
      <w:pPr>
        <w:pStyle w:val="ListParagraph"/>
        <w:numPr>
          <w:ilvl w:val="0"/>
          <w:numId w:val="40"/>
        </w:numPr>
        <w:spacing w:after="0" w:line="288" w:lineRule="auto"/>
        <w:jc w:val="both"/>
        <w:rPr>
          <w:rFonts w:asciiTheme="minorHAnsi" w:hAnsiTheme="minorHAnsi" w:cstheme="minorHAnsi"/>
        </w:rPr>
      </w:pPr>
      <w:r w:rsidRPr="00597DAD">
        <w:rPr>
          <w:rFonts w:asciiTheme="minorHAnsi" w:hAnsiTheme="minorHAnsi" w:cstheme="minorHAnsi"/>
          <w:u w:val="single"/>
        </w:rPr>
        <w:t>alueellinen taso</w:t>
      </w:r>
      <w:r w:rsidRPr="00597DAD">
        <w:rPr>
          <w:rFonts w:asciiTheme="minorHAnsi" w:hAnsiTheme="minorHAnsi" w:cstheme="minorHAnsi"/>
        </w:rPr>
        <w:t>: muun muassa ESR:n hallintoviranomainen, työllisyyspalvelut, alueelliset ministeriöt, alueelliset elinkeinoyhdistykset ja korkeakoulut</w:t>
      </w:r>
    </w:p>
    <w:p w:rsidR="0002399B" w:rsidRPr="00597DAD" w:rsidRDefault="00E0617C" w:rsidP="00597DAD">
      <w:pPr>
        <w:pStyle w:val="ListParagraph"/>
        <w:numPr>
          <w:ilvl w:val="0"/>
          <w:numId w:val="40"/>
        </w:numPr>
        <w:spacing w:after="0" w:line="288" w:lineRule="auto"/>
        <w:jc w:val="both"/>
        <w:rPr>
          <w:rFonts w:asciiTheme="minorHAnsi" w:hAnsiTheme="minorHAnsi" w:cstheme="minorHAnsi"/>
        </w:rPr>
      </w:pPr>
      <w:r w:rsidRPr="00597DAD">
        <w:rPr>
          <w:rFonts w:asciiTheme="minorHAnsi" w:hAnsiTheme="minorHAnsi" w:cstheme="minorHAnsi"/>
          <w:u w:val="single"/>
        </w:rPr>
        <w:t>kansallinen taso</w:t>
      </w:r>
      <w:r w:rsidRPr="00597DAD">
        <w:rPr>
          <w:rFonts w:asciiTheme="minorHAnsi" w:hAnsiTheme="minorHAnsi" w:cstheme="minorHAnsi"/>
        </w:rPr>
        <w:t>: muun muassa kansalliset ministeriöt, sosiaalialan järjestöt, yritysjärjestöt, koulutusjärjestöt, korkeakoulujärjestöt</w:t>
      </w:r>
    </w:p>
    <w:p w:rsidR="00256F0C" w:rsidRPr="00597DAD" w:rsidRDefault="00E0617C" w:rsidP="00597DAD">
      <w:pPr>
        <w:pStyle w:val="ListParagraph"/>
        <w:numPr>
          <w:ilvl w:val="0"/>
          <w:numId w:val="40"/>
        </w:numPr>
        <w:spacing w:after="0" w:line="288" w:lineRule="auto"/>
        <w:jc w:val="both"/>
        <w:rPr>
          <w:rFonts w:asciiTheme="minorHAnsi" w:hAnsiTheme="minorHAnsi" w:cstheme="minorHAnsi"/>
        </w:rPr>
      </w:pPr>
      <w:r w:rsidRPr="00597DAD">
        <w:rPr>
          <w:rFonts w:asciiTheme="minorHAnsi" w:hAnsiTheme="minorHAnsi" w:cstheme="minorHAnsi"/>
          <w:u w:val="single"/>
        </w:rPr>
        <w:t>EU:n taso</w:t>
      </w:r>
      <w:r w:rsidRPr="00597DAD">
        <w:rPr>
          <w:rFonts w:asciiTheme="minorHAnsi" w:hAnsiTheme="minorHAnsi" w:cstheme="minorHAnsi"/>
        </w:rPr>
        <w:t>: Euroopan komissio (työllisyys-, sosiaali- ja osallisuusasioiden pääosaston johtamana; muut pääosastot ja yksiköt, joita voitaisiin kutsua: koulutuksen, nuorisoasioiden, urheilun ja kulttuurin pääosasto, alue- ja kaupunkipolitiikan pääosasto, rakenneuudistusten tuen pääosasto, Yhteinen tutkimuskeskus), EU:n virastot (ELA, Cedefop, Eurofound), AK:n jäsenet, Euroopan parlamentin jäsenet ja työmarkkinaosapuolet.</w:t>
      </w:r>
    </w:p>
    <w:p w:rsidR="00FE1A83" w:rsidRPr="00597DAD" w:rsidRDefault="00FE1A83" w:rsidP="00597DAD">
      <w:pPr>
        <w:spacing w:after="0"/>
        <w:jc w:val="both"/>
        <w:rPr>
          <w:rFonts w:cstheme="minorHAnsi"/>
          <w:lang w:val="en-GB"/>
        </w:rPr>
      </w:pPr>
    </w:p>
    <w:p w:rsidR="00834904" w:rsidRPr="00597DAD" w:rsidRDefault="00834904" w:rsidP="00597DAD">
      <w:pPr>
        <w:spacing w:after="0"/>
        <w:jc w:val="both"/>
        <w:rPr>
          <w:rFonts w:cstheme="minorHAnsi"/>
        </w:rPr>
      </w:pPr>
      <w:r w:rsidRPr="00597DAD">
        <w:rPr>
          <w:rFonts w:cstheme="minorHAnsi"/>
        </w:rPr>
        <w:t xml:space="preserve">Koska nykyisen covid-19-pandemian vuoksi paikan päällä järjestettävien messujen pitäminen on toistaiseksi mahdotonta, voitaisiin harkita </w:t>
      </w:r>
      <w:hyperlink r:id="rId14" w:history="1">
        <w:r w:rsidRPr="00597DAD">
          <w:rPr>
            <w:rFonts w:cstheme="minorHAnsi"/>
          </w:rPr>
          <w:t xml:space="preserve">Euroopan työpaikkapäivät </w:t>
        </w:r>
        <w:r w:rsidRPr="00597DAD">
          <w:rPr>
            <w:rFonts w:cstheme="minorHAnsi"/>
          </w:rPr>
          <w:noBreakHyphen/>
          <w:t>verkkotapahtumien</w:t>
        </w:r>
      </w:hyperlink>
      <w:r w:rsidRPr="00597DAD">
        <w:rPr>
          <w:rFonts w:cstheme="minorHAnsi"/>
        </w:rPr>
        <w:t xml:space="preserve"> kaltaisten tapahtumien järjestämistä yhteisymmärryksessä asianomaisen kansallisen EURES-koordinointitoimiston kanssa ja yhteistyössä sen kanssa.</w:t>
      </w:r>
    </w:p>
    <w:p w:rsidR="003E0FE7" w:rsidRPr="00597DAD" w:rsidRDefault="003E0FE7" w:rsidP="00597DAD">
      <w:pPr>
        <w:spacing w:after="0"/>
        <w:jc w:val="both"/>
        <w:rPr>
          <w:rFonts w:cstheme="minorHAnsi"/>
          <w:lang w:val="en-GB"/>
        </w:rPr>
      </w:pPr>
    </w:p>
    <w:p w:rsidR="00E6624D" w:rsidRPr="00597DAD" w:rsidRDefault="00E6624D" w:rsidP="00597DAD">
      <w:pPr>
        <w:spacing w:after="0"/>
        <w:jc w:val="both"/>
        <w:rPr>
          <w:rFonts w:cstheme="minorHAnsi"/>
        </w:rPr>
      </w:pPr>
      <w:r w:rsidRPr="00597DAD">
        <w:rPr>
          <w:rFonts w:cstheme="minorHAnsi"/>
        </w:rPr>
        <w:t>Järjestäjien ja kumppaneiden tehtävät ja vastuut määritellään erillisissä sopimuksissa.</w:t>
      </w:r>
    </w:p>
    <w:p w:rsidR="00F165DD" w:rsidRPr="00597DAD" w:rsidRDefault="00F165DD" w:rsidP="00597DAD">
      <w:pPr>
        <w:spacing w:after="0"/>
        <w:jc w:val="both"/>
        <w:rPr>
          <w:rFonts w:cstheme="minorHAnsi"/>
          <w:sz w:val="24"/>
          <w:lang w:val="en-GB"/>
        </w:rPr>
      </w:pPr>
    </w:p>
    <w:p w:rsidR="001A2D75" w:rsidRPr="00597DAD" w:rsidRDefault="001A2D75" w:rsidP="00597DAD">
      <w:pPr>
        <w:pStyle w:val="ListParagraph"/>
        <w:keepNext/>
        <w:numPr>
          <w:ilvl w:val="2"/>
          <w:numId w:val="22"/>
        </w:numPr>
        <w:spacing w:after="0" w:line="288" w:lineRule="auto"/>
        <w:jc w:val="both"/>
        <w:rPr>
          <w:rFonts w:asciiTheme="minorHAnsi" w:hAnsiTheme="minorHAnsi" w:cstheme="minorHAnsi"/>
          <w:b/>
          <w:sz w:val="24"/>
        </w:rPr>
      </w:pPr>
      <w:r w:rsidRPr="00597DAD">
        <w:rPr>
          <w:rFonts w:asciiTheme="minorHAnsi" w:hAnsiTheme="minorHAnsi" w:cstheme="minorHAnsi"/>
          <w:b/>
          <w:sz w:val="24"/>
        </w:rPr>
        <w:t>Rahoitus ja muu tuki</w:t>
      </w:r>
    </w:p>
    <w:p w:rsidR="001A2D75" w:rsidRPr="00597DAD" w:rsidRDefault="001A2D75" w:rsidP="00597DAD">
      <w:pPr>
        <w:keepNext/>
        <w:spacing w:after="0"/>
        <w:jc w:val="both"/>
        <w:rPr>
          <w:rFonts w:cstheme="minorHAnsi"/>
          <w:lang w:val="en-GB"/>
        </w:rPr>
      </w:pPr>
    </w:p>
    <w:p w:rsidR="006C7232" w:rsidRPr="00597DAD" w:rsidRDefault="001A2D75" w:rsidP="00597DAD">
      <w:pPr>
        <w:spacing w:after="0"/>
        <w:jc w:val="both"/>
        <w:rPr>
          <w:rFonts w:cstheme="minorHAnsi"/>
        </w:rPr>
      </w:pPr>
      <w:r w:rsidRPr="00597DAD">
        <w:rPr>
          <w:rFonts w:cstheme="minorHAnsi"/>
        </w:rPr>
        <w:t>AK:n jäsenten isännöimiä Euroopan paikallisia työpaikkamessuja voitaisiin tukea EU-rahoituksella. Alueiden komitea ja työllisyys-, sosiaali- ja osallisuusasioiden pääosasto tutkivat yhdessä näiden tapahtumien rahoitustukeen liittyviä asianmukaisia vaihtoehtoja.</w:t>
      </w:r>
    </w:p>
    <w:p w:rsidR="001A2D75" w:rsidRPr="00597DAD" w:rsidRDefault="001A2D75" w:rsidP="00597DAD">
      <w:pPr>
        <w:spacing w:after="0"/>
        <w:jc w:val="both"/>
        <w:rPr>
          <w:rFonts w:cstheme="minorHAnsi"/>
          <w:lang w:val="en-GB"/>
        </w:rPr>
      </w:pPr>
    </w:p>
    <w:p w:rsidR="001A2D75" w:rsidRPr="00597DAD" w:rsidRDefault="008D4711" w:rsidP="00597DAD">
      <w:pPr>
        <w:spacing w:after="0"/>
        <w:jc w:val="both"/>
        <w:rPr>
          <w:rFonts w:cstheme="minorHAnsi"/>
        </w:rPr>
      </w:pPr>
      <w:r w:rsidRPr="00597DAD">
        <w:rPr>
          <w:rFonts w:cstheme="minorHAnsi"/>
        </w:rPr>
        <w:t>Muu tuki voisi olla seuraavan laista:</w:t>
      </w:r>
    </w:p>
    <w:p w:rsidR="001A2D75" w:rsidRPr="00597DAD" w:rsidRDefault="001A2D75" w:rsidP="00597DAD">
      <w:pPr>
        <w:spacing w:after="0"/>
        <w:jc w:val="both"/>
        <w:rPr>
          <w:rFonts w:cstheme="minorHAnsi"/>
          <w:lang w:val="en-GB"/>
        </w:rPr>
      </w:pPr>
    </w:p>
    <w:p w:rsidR="001A2D75" w:rsidRPr="00597DAD" w:rsidRDefault="001A2D75" w:rsidP="00597DAD">
      <w:pPr>
        <w:pStyle w:val="ListParagraph"/>
        <w:numPr>
          <w:ilvl w:val="0"/>
          <w:numId w:val="41"/>
        </w:numPr>
        <w:spacing w:after="0" w:line="288" w:lineRule="auto"/>
        <w:jc w:val="both"/>
        <w:rPr>
          <w:rFonts w:asciiTheme="minorHAnsi" w:hAnsiTheme="minorHAnsi" w:cstheme="minorHAnsi"/>
        </w:rPr>
      </w:pPr>
      <w:r w:rsidRPr="00597DAD">
        <w:rPr>
          <w:rFonts w:asciiTheme="minorHAnsi" w:hAnsiTheme="minorHAnsi" w:cstheme="minorHAnsi"/>
        </w:rPr>
        <w:t>EU:n kumppanien sitoutuminen osallistumaan aktiivisesti messuihin (asiantuntijoiden ja edustajien lähettäminen)</w:t>
      </w:r>
    </w:p>
    <w:p w:rsidR="001A2D75" w:rsidRPr="00597DAD" w:rsidRDefault="001A2D75" w:rsidP="00597DAD">
      <w:pPr>
        <w:pStyle w:val="ListParagraph"/>
        <w:numPr>
          <w:ilvl w:val="0"/>
          <w:numId w:val="41"/>
        </w:numPr>
        <w:spacing w:after="0" w:line="288" w:lineRule="auto"/>
        <w:jc w:val="both"/>
        <w:rPr>
          <w:rFonts w:asciiTheme="minorHAnsi" w:hAnsiTheme="minorHAnsi" w:cstheme="minorHAnsi"/>
        </w:rPr>
      </w:pPr>
      <w:r w:rsidRPr="00597DAD">
        <w:rPr>
          <w:rFonts w:asciiTheme="minorHAnsi" w:hAnsiTheme="minorHAnsi" w:cstheme="minorHAnsi"/>
        </w:rPr>
        <w:t>EU:n kumppanien sitoutuminen laatimaan riittävää tiedotusmateriaalia tapahtumaa varten</w:t>
      </w:r>
    </w:p>
    <w:p w:rsidR="001A2D75" w:rsidRPr="00597DAD" w:rsidRDefault="001A2D75" w:rsidP="00597DAD">
      <w:pPr>
        <w:pStyle w:val="ListParagraph"/>
        <w:numPr>
          <w:ilvl w:val="0"/>
          <w:numId w:val="41"/>
        </w:numPr>
        <w:spacing w:after="0" w:line="288" w:lineRule="auto"/>
        <w:jc w:val="both"/>
        <w:rPr>
          <w:rFonts w:asciiTheme="minorHAnsi" w:hAnsiTheme="minorHAnsi" w:cstheme="minorHAnsi"/>
        </w:rPr>
      </w:pPr>
      <w:r w:rsidRPr="00597DAD">
        <w:rPr>
          <w:rFonts w:asciiTheme="minorHAnsi" w:hAnsiTheme="minorHAnsi" w:cstheme="minorHAnsi"/>
        </w:rPr>
        <w:t>komission jäsenen tai työllisyys-, sosiaali- ja osallisuusasioiden pääosaston ylemmän johdon sitoutuminen messuedustukseen mahdollisuuksien mukaan.</w:t>
      </w:r>
    </w:p>
    <w:p w:rsidR="007A1EBE" w:rsidRPr="00597DAD" w:rsidRDefault="007A1EBE" w:rsidP="00597DAD">
      <w:pPr>
        <w:spacing w:after="0"/>
        <w:jc w:val="both"/>
        <w:rPr>
          <w:rFonts w:cstheme="minorHAnsi"/>
          <w:lang w:val="en-GB"/>
        </w:rPr>
      </w:pPr>
    </w:p>
    <w:p w:rsidR="00E01D16" w:rsidRPr="00597DAD" w:rsidRDefault="008C4469" w:rsidP="00597DAD">
      <w:pPr>
        <w:pStyle w:val="Heading1"/>
        <w:spacing w:before="0" w:after="0"/>
        <w:ind w:left="567" w:hanging="567"/>
        <w:jc w:val="both"/>
        <w:rPr>
          <w:rFonts w:asciiTheme="minorHAnsi" w:hAnsiTheme="minorHAnsi" w:cstheme="minorHAnsi"/>
          <w:b/>
          <w:sz w:val="24"/>
        </w:rPr>
      </w:pPr>
      <w:r w:rsidRPr="00597DAD">
        <w:rPr>
          <w:rFonts w:asciiTheme="minorHAnsi" w:hAnsiTheme="minorHAnsi" w:cstheme="minorHAnsi"/>
          <w:b/>
          <w:color w:val="auto"/>
          <w:sz w:val="24"/>
          <w:szCs w:val="24"/>
        </w:rPr>
        <w:t xml:space="preserve">3. </w:t>
      </w:r>
      <w:r w:rsidRPr="00597DAD">
        <w:rPr>
          <w:rFonts w:asciiTheme="minorHAnsi" w:hAnsiTheme="minorHAnsi" w:cstheme="minorHAnsi"/>
          <w:b/>
          <w:color w:val="auto"/>
          <w:sz w:val="24"/>
          <w:szCs w:val="24"/>
        </w:rPr>
        <w:tab/>
      </w:r>
      <w:r w:rsidRPr="00597DAD">
        <w:rPr>
          <w:rFonts w:asciiTheme="minorHAnsi" w:hAnsiTheme="minorHAnsi" w:cstheme="minorHAnsi"/>
          <w:b/>
          <w:color w:val="auto"/>
          <w:sz w:val="24"/>
        </w:rPr>
        <w:t>Muut politiikanalat ja yhteistyömahdollisuudet</w:t>
      </w:r>
    </w:p>
    <w:p w:rsidR="00E01D16" w:rsidRPr="00597DAD" w:rsidRDefault="00E01D16" w:rsidP="00597DAD">
      <w:pPr>
        <w:spacing w:after="0"/>
        <w:jc w:val="both"/>
        <w:rPr>
          <w:rFonts w:eastAsiaTheme="majorEastAsia" w:cstheme="minorHAnsi"/>
          <w:lang w:val="en-GB"/>
        </w:rPr>
      </w:pPr>
    </w:p>
    <w:p w:rsidR="00E01D16" w:rsidRPr="00597DAD" w:rsidRDefault="00E01D16" w:rsidP="00597DAD">
      <w:pPr>
        <w:spacing w:after="0"/>
        <w:jc w:val="both"/>
        <w:rPr>
          <w:rFonts w:cstheme="minorHAnsi"/>
          <w:bCs/>
        </w:rPr>
      </w:pPr>
      <w:r w:rsidRPr="00597DAD">
        <w:rPr>
          <w:rFonts w:cstheme="minorHAnsi"/>
        </w:rPr>
        <w:t xml:space="preserve">Tällä hetkellä työllisyys-, sosiaali- ja osallisuusasioiden pääosaston asialistalla on useita muita aloitteita, kuten: </w:t>
      </w:r>
    </w:p>
    <w:p w:rsidR="007A1EBE" w:rsidRPr="00597DAD" w:rsidRDefault="007A1EBE" w:rsidP="00597DAD">
      <w:pPr>
        <w:spacing w:after="0"/>
        <w:jc w:val="both"/>
        <w:rPr>
          <w:rFonts w:cstheme="minorHAnsi"/>
          <w:bCs/>
          <w:lang w:val="en-GB"/>
        </w:rPr>
      </w:pPr>
    </w:p>
    <w:p w:rsidR="00457987" w:rsidRPr="00597DAD" w:rsidRDefault="007A1EBE" w:rsidP="00597DAD">
      <w:pPr>
        <w:pStyle w:val="ListParagraph"/>
        <w:numPr>
          <w:ilvl w:val="0"/>
          <w:numId w:val="33"/>
        </w:numPr>
        <w:spacing w:after="0" w:line="288" w:lineRule="auto"/>
        <w:ind w:left="360"/>
        <w:jc w:val="both"/>
        <w:rPr>
          <w:rFonts w:asciiTheme="minorHAnsi" w:hAnsiTheme="minorHAnsi" w:cstheme="minorHAnsi"/>
        </w:rPr>
      </w:pPr>
      <w:r w:rsidRPr="00597DAD">
        <w:rPr>
          <w:rFonts w:asciiTheme="minorHAnsi" w:hAnsiTheme="minorHAnsi" w:cstheme="minorHAnsi"/>
        </w:rPr>
        <w:t>yhteisötalouden toimintasuunnitelma, jonka odotetaan valmistuvan vuonna 2021; yhteistyössä voitaisiin tutkia alueellisen tason ja alueiden välisen tason toimia sosiaalisen osallisuuden, työpaikkojen luomisen, hoitoalan (päivähoito ja iäkkäiden hoito), muiden sosiaalipalvelujen ja yhteisötalouden sosiaalisen innovoinnin aloilla</w:t>
      </w:r>
    </w:p>
    <w:p w:rsidR="00E01D16" w:rsidRPr="00597DAD" w:rsidRDefault="007A1EBE" w:rsidP="00597DAD">
      <w:pPr>
        <w:pStyle w:val="ListParagraph"/>
        <w:numPr>
          <w:ilvl w:val="0"/>
          <w:numId w:val="33"/>
        </w:numPr>
        <w:spacing w:after="0" w:line="288" w:lineRule="auto"/>
        <w:ind w:left="360"/>
        <w:jc w:val="both"/>
        <w:rPr>
          <w:rFonts w:asciiTheme="minorHAnsi" w:hAnsiTheme="minorHAnsi" w:cstheme="minorHAnsi"/>
        </w:rPr>
      </w:pPr>
      <w:r w:rsidRPr="00597DAD">
        <w:rPr>
          <w:rFonts w:asciiTheme="minorHAnsi" w:hAnsiTheme="minorHAnsi" w:cstheme="minorHAnsi"/>
        </w:rPr>
        <w:t>asianmukainen vähimmäispalkka Euroopan unionissa, komissio esitti asiaa koskevan direktiivin 28. lokakuuta 2020</w:t>
      </w:r>
    </w:p>
    <w:p w:rsidR="00E01D16" w:rsidRPr="00597DAD" w:rsidRDefault="007A1EBE" w:rsidP="00597DAD">
      <w:pPr>
        <w:pStyle w:val="ListParagraph"/>
        <w:numPr>
          <w:ilvl w:val="0"/>
          <w:numId w:val="33"/>
        </w:numPr>
        <w:spacing w:after="0" w:line="288" w:lineRule="auto"/>
        <w:ind w:left="360"/>
        <w:jc w:val="both"/>
        <w:rPr>
          <w:rFonts w:asciiTheme="minorHAnsi" w:hAnsiTheme="minorHAnsi" w:cstheme="minorHAnsi"/>
        </w:rPr>
      </w:pPr>
      <w:r w:rsidRPr="00597DAD">
        <w:rPr>
          <w:rFonts w:asciiTheme="minorHAnsi" w:hAnsiTheme="minorHAnsi" w:cstheme="minorHAnsi"/>
        </w:rPr>
        <w:t>kausityöntekijöiden työolot, joita koskevat suuntaviivat komissio antoi vuonna 2020</w:t>
      </w:r>
    </w:p>
    <w:p w:rsidR="00E01D16" w:rsidRPr="00597DAD" w:rsidRDefault="007A1EBE" w:rsidP="00597DAD">
      <w:pPr>
        <w:pStyle w:val="ListParagraph"/>
        <w:numPr>
          <w:ilvl w:val="0"/>
          <w:numId w:val="33"/>
        </w:numPr>
        <w:spacing w:after="0" w:line="288" w:lineRule="auto"/>
        <w:ind w:left="360"/>
        <w:jc w:val="both"/>
        <w:rPr>
          <w:rFonts w:asciiTheme="minorHAnsi" w:hAnsiTheme="minorHAnsi" w:cstheme="minorHAnsi"/>
        </w:rPr>
      </w:pPr>
      <w:r w:rsidRPr="00597DAD">
        <w:rPr>
          <w:rFonts w:asciiTheme="minorHAnsi" w:hAnsiTheme="minorHAnsi" w:cstheme="minorHAnsi"/>
        </w:rPr>
        <w:t>työllisyys-, sosiaali- ja osallisuusasioiden pääosaston toimivaltaan kuuluvat väestörakenteen muutokseen liittyvät näkökohdat.</w:t>
      </w:r>
    </w:p>
    <w:p w:rsidR="007A1EBE" w:rsidRPr="00597DAD" w:rsidRDefault="007A1EBE" w:rsidP="00597DAD">
      <w:pPr>
        <w:spacing w:after="0"/>
        <w:jc w:val="both"/>
        <w:rPr>
          <w:rFonts w:cstheme="minorHAnsi"/>
          <w:lang w:val="en-GB"/>
        </w:rPr>
      </w:pPr>
    </w:p>
    <w:p w:rsidR="00E01D16" w:rsidRPr="00597DAD" w:rsidRDefault="00E01D16" w:rsidP="00597DAD">
      <w:pPr>
        <w:spacing w:after="0"/>
        <w:jc w:val="both"/>
        <w:rPr>
          <w:rFonts w:cstheme="minorHAnsi"/>
        </w:rPr>
      </w:pPr>
      <w:r w:rsidRPr="00597DAD">
        <w:rPr>
          <w:rFonts w:cstheme="minorHAnsi"/>
        </w:rPr>
        <w:t>AK pyrkii tehostamaan paikallis- ja alueviranomaisten kuulemista, jotta näiltä saatuja tietoja voidaan käyttää hyväksi kyseisillä keskeisillä toiminta-aloilla. AK ja työllisyys-, sosiaali- ja osallisuusasioiden pääosasto pyrkivät lisäksi tiivistämään näitä aiheita koskevaa tiedonvaihtoa.</w:t>
      </w:r>
    </w:p>
    <w:p w:rsidR="00E01D16" w:rsidRPr="00597DAD" w:rsidRDefault="00E01D16" w:rsidP="00597DAD">
      <w:pPr>
        <w:spacing w:after="0"/>
        <w:jc w:val="both"/>
        <w:rPr>
          <w:rFonts w:cstheme="minorHAnsi"/>
          <w:lang w:val="en-GB"/>
        </w:rPr>
      </w:pPr>
    </w:p>
    <w:p w:rsidR="003E36A3" w:rsidRPr="00597DAD" w:rsidRDefault="003E36A3" w:rsidP="00597DAD">
      <w:pPr>
        <w:spacing w:after="0"/>
        <w:jc w:val="both"/>
        <w:rPr>
          <w:rFonts w:cstheme="minorHAnsi"/>
        </w:rPr>
      </w:pPr>
      <w:r w:rsidRPr="00597DAD">
        <w:rPr>
          <w:rFonts w:cstheme="minorHAnsi"/>
        </w:rPr>
        <w:t>AK:n ja työllisyys-, sosiaali- ja osallisuusasioiden pääosaston välisen yhteistyön tehostamiseksi voidaan harkita seuraavia lisätoimenpiteitä:</w:t>
      </w:r>
    </w:p>
    <w:p w:rsidR="005B2DC3" w:rsidRPr="00597DAD" w:rsidRDefault="005B2DC3" w:rsidP="00597DAD">
      <w:pPr>
        <w:spacing w:after="0"/>
        <w:jc w:val="both"/>
        <w:rPr>
          <w:rFonts w:cstheme="minorHAnsi"/>
          <w:lang w:val="en-GB"/>
        </w:rPr>
      </w:pPr>
    </w:p>
    <w:p w:rsidR="003E36A3" w:rsidRPr="00597DAD" w:rsidRDefault="007A1EBE" w:rsidP="00597DAD">
      <w:pPr>
        <w:pStyle w:val="ListParagraph"/>
        <w:numPr>
          <w:ilvl w:val="0"/>
          <w:numId w:val="17"/>
        </w:numPr>
        <w:spacing w:after="0" w:line="288" w:lineRule="auto"/>
        <w:ind w:left="357" w:hanging="357"/>
        <w:jc w:val="both"/>
        <w:rPr>
          <w:rFonts w:asciiTheme="minorHAnsi" w:hAnsiTheme="minorHAnsi" w:cstheme="minorHAnsi"/>
        </w:rPr>
      </w:pPr>
      <w:r w:rsidRPr="00597DAD">
        <w:rPr>
          <w:rFonts w:asciiTheme="minorHAnsi" w:hAnsiTheme="minorHAnsi" w:cstheme="minorHAnsi"/>
        </w:rPr>
        <w:t>säännöllinen poliittinen vuoropuhelu AK:n täysistunnossa ja SEDEC-valiokunnan kokouksissa</w:t>
      </w:r>
    </w:p>
    <w:p w:rsidR="003E36A3" w:rsidRPr="00597DAD" w:rsidRDefault="007A1EBE" w:rsidP="00597DAD">
      <w:pPr>
        <w:pStyle w:val="ListParagraph"/>
        <w:numPr>
          <w:ilvl w:val="0"/>
          <w:numId w:val="17"/>
        </w:numPr>
        <w:spacing w:after="0" w:line="288" w:lineRule="auto"/>
        <w:ind w:left="357" w:hanging="357"/>
        <w:jc w:val="both"/>
        <w:rPr>
          <w:rFonts w:asciiTheme="minorHAnsi" w:hAnsiTheme="minorHAnsi" w:cstheme="minorHAnsi"/>
        </w:rPr>
      </w:pPr>
      <w:r w:rsidRPr="00597DAD">
        <w:rPr>
          <w:rFonts w:asciiTheme="minorHAnsi" w:hAnsiTheme="minorHAnsi" w:cstheme="minorHAnsi"/>
        </w:rPr>
        <w:t>AK:n jäsenten ja esittelijöiden mahdollinen osallistuminen työllisyys-, sosiaali- ja osallisuusasioiden pääosaston järjestämiin konferensseihin ja tapahtumiin sellaisissa tapauksissa, joissa paikallinen ja alueellinen näkökulma tuo lisäarvoa</w:t>
      </w:r>
    </w:p>
    <w:p w:rsidR="003E36A3" w:rsidRPr="00597DAD" w:rsidRDefault="007A1EBE" w:rsidP="00597DAD">
      <w:pPr>
        <w:pStyle w:val="ListParagraph"/>
        <w:numPr>
          <w:ilvl w:val="0"/>
          <w:numId w:val="17"/>
        </w:numPr>
        <w:spacing w:after="0" w:line="288" w:lineRule="auto"/>
        <w:ind w:left="357" w:hanging="357"/>
        <w:jc w:val="both"/>
        <w:rPr>
          <w:rFonts w:asciiTheme="minorHAnsi" w:hAnsiTheme="minorHAnsi" w:cstheme="minorHAnsi"/>
        </w:rPr>
      </w:pPr>
      <w:r w:rsidRPr="00597DAD">
        <w:rPr>
          <w:rFonts w:asciiTheme="minorHAnsi" w:hAnsiTheme="minorHAnsi" w:cstheme="minorHAnsi"/>
        </w:rPr>
        <w:t>AK:n jäsenille saatavilla olevasta EU:n rahoituksesta ja poliittisesta tuesta tiedottaminen pyynnöstä, jotta voidaan osoittaa, miten EU voi auttaa alueita ja kaupunkeja vihreässä ja digitaalisessa siirtymässä</w:t>
      </w:r>
    </w:p>
    <w:p w:rsidR="002E7C63" w:rsidRPr="00597DAD" w:rsidRDefault="007A1EBE" w:rsidP="00597DAD">
      <w:pPr>
        <w:pStyle w:val="ListParagraph"/>
        <w:numPr>
          <w:ilvl w:val="0"/>
          <w:numId w:val="17"/>
        </w:numPr>
        <w:spacing w:after="0" w:line="288" w:lineRule="auto"/>
        <w:ind w:left="357" w:hanging="357"/>
        <w:jc w:val="both"/>
        <w:rPr>
          <w:rFonts w:asciiTheme="minorHAnsi" w:hAnsiTheme="minorHAnsi" w:cstheme="minorHAnsi"/>
        </w:rPr>
      </w:pPr>
      <w:r w:rsidRPr="00597DAD">
        <w:rPr>
          <w:rFonts w:asciiTheme="minorHAnsi" w:hAnsiTheme="minorHAnsi" w:cstheme="minorHAnsi"/>
        </w:rPr>
        <w:t>yhteisten tiedonantotoimenpiteiden tarkasteleminen tarvittaessa</w:t>
      </w:r>
    </w:p>
    <w:p w:rsidR="006D7CA9" w:rsidRPr="00597DAD" w:rsidRDefault="007A1EBE" w:rsidP="00597DAD">
      <w:pPr>
        <w:pStyle w:val="ListParagraph"/>
        <w:numPr>
          <w:ilvl w:val="0"/>
          <w:numId w:val="17"/>
        </w:numPr>
        <w:spacing w:after="0" w:line="288" w:lineRule="auto"/>
        <w:ind w:left="357" w:hanging="357"/>
        <w:jc w:val="both"/>
        <w:rPr>
          <w:rFonts w:asciiTheme="minorHAnsi" w:hAnsiTheme="minorHAnsi" w:cstheme="minorHAnsi"/>
        </w:rPr>
      </w:pPr>
      <w:r w:rsidRPr="00597DAD">
        <w:rPr>
          <w:rFonts w:asciiTheme="minorHAnsi" w:hAnsiTheme="minorHAnsi" w:cstheme="minorHAnsi"/>
        </w:rPr>
        <w:t>muiden pääosastojen aloitteisiin liittyvien synergioiden, kuten S3-foorumin teollisuuden nykyaikaistamisen temaattisen alustan yhteisötaloutta käsittelevän kumppanuuden (</w:t>
      </w:r>
      <w:hyperlink r:id="rId15" w:history="1">
        <w:r w:rsidRPr="00597DAD">
          <w:rPr>
            <w:rStyle w:val="Hyperlink"/>
            <w:rFonts w:asciiTheme="minorHAnsi" w:hAnsiTheme="minorHAnsi" w:cstheme="minorHAnsi"/>
          </w:rPr>
          <w:t>https://s3platform.jrc.ec.europa.eu/social-economy</w:t>
        </w:r>
      </w:hyperlink>
      <w:r w:rsidRPr="00597DAD">
        <w:rPr>
          <w:rFonts w:asciiTheme="minorHAnsi" w:hAnsiTheme="minorHAnsi" w:cstheme="minorHAnsi"/>
        </w:rPr>
        <w:t>), tarkasteleminen.</w:t>
      </w:r>
    </w:p>
    <w:p w:rsidR="006D7CA9" w:rsidRPr="00597DAD" w:rsidRDefault="006D7CA9" w:rsidP="00597DAD">
      <w:pPr>
        <w:spacing w:after="0"/>
        <w:jc w:val="both"/>
        <w:rPr>
          <w:rFonts w:cstheme="minorHAnsi"/>
          <w:lang w:val="en-GB"/>
        </w:rPr>
      </w:pPr>
    </w:p>
    <w:p w:rsidR="006D7CA9" w:rsidRPr="00597DAD" w:rsidRDefault="0068468C" w:rsidP="00597DAD">
      <w:pPr>
        <w:pStyle w:val="Heading1"/>
        <w:spacing w:before="0" w:after="0"/>
        <w:jc w:val="both"/>
        <w:rPr>
          <w:rFonts w:asciiTheme="minorHAnsi" w:eastAsia="Times New Roman" w:hAnsiTheme="minorHAnsi" w:cstheme="minorHAnsi"/>
          <w:b/>
          <w:color w:val="000000" w:themeColor="text1"/>
          <w:sz w:val="24"/>
          <w:szCs w:val="24"/>
        </w:rPr>
      </w:pPr>
      <w:r w:rsidRPr="00597DAD">
        <w:rPr>
          <w:rFonts w:asciiTheme="minorHAnsi" w:hAnsiTheme="minorHAnsi" w:cstheme="minorHAnsi"/>
          <w:b/>
          <w:color w:val="000000" w:themeColor="text1"/>
          <w:sz w:val="24"/>
          <w:szCs w:val="24"/>
        </w:rPr>
        <w:t xml:space="preserve">4. </w:t>
      </w:r>
      <w:r w:rsidRPr="00597DAD">
        <w:rPr>
          <w:rFonts w:asciiTheme="minorHAnsi" w:hAnsiTheme="minorHAnsi" w:cstheme="minorHAnsi"/>
          <w:b/>
          <w:color w:val="000000" w:themeColor="text1"/>
          <w:sz w:val="24"/>
          <w:szCs w:val="24"/>
        </w:rPr>
        <w:tab/>
        <w:t>Tulevat toimet:</w:t>
      </w:r>
    </w:p>
    <w:p w:rsidR="006D7CA9" w:rsidRPr="00597DAD" w:rsidRDefault="006D7CA9" w:rsidP="00597DAD">
      <w:pPr>
        <w:keepNext/>
        <w:spacing w:after="0"/>
        <w:jc w:val="both"/>
        <w:rPr>
          <w:rFonts w:cstheme="minorHAnsi"/>
          <w:lang w:val="en-GB"/>
        </w:rPr>
      </w:pPr>
    </w:p>
    <w:p w:rsidR="000F448C" w:rsidRPr="00597DAD" w:rsidRDefault="00DC0DF4" w:rsidP="00597DAD">
      <w:pPr>
        <w:spacing w:after="0"/>
        <w:jc w:val="both"/>
        <w:rPr>
          <w:rFonts w:cstheme="minorHAnsi"/>
        </w:rPr>
      </w:pPr>
      <w:r w:rsidRPr="00597DAD">
        <w:rPr>
          <w:rFonts w:cstheme="minorHAnsi"/>
        </w:rPr>
        <w:t>Sekä työllisyys-, sosiaali- ja osallisuusasioiden pääosasto että AK nimeävät yhteyshenkilöitä, jotta voidaan määritellä yksityiskohtaisesti Euroopan paikallisten työpaikkamessujen malli ja toteuttamistavat sekä varmistaa toimien sujuva yhteistyö ja koordinointi hallinnon tasolla.</w:t>
      </w:r>
    </w:p>
    <w:sectPr w:rsidR="000F448C" w:rsidRPr="00597DAD" w:rsidSect="003831AE">
      <w:footerReference w:type="default" r:id="rId16"/>
      <w:pgSz w:w="11906" w:h="16838"/>
      <w:pgMar w:top="1417"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63B" w16cex:dateUtc="2020-08-20T07:51:00Z"/>
  <w16cex:commentExtensible w16cex:durableId="22E8C6C8" w16cex:dateUtc="2020-08-20T07:54:00Z"/>
  <w16cex:commentExtensible w16cex:durableId="22E8C78A" w16cex:dateUtc="2020-08-20T07:57:00Z"/>
  <w16cex:commentExtensible w16cex:durableId="22E8CDF2" w16cex:dateUtc="2020-08-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40FE8" w16cid:durableId="22E8C63B"/>
  <w16cid:commentId w16cid:paraId="7CC3FC94" w16cid:durableId="22E8C6C8"/>
  <w16cid:commentId w16cid:paraId="1E5534BC" w16cid:durableId="22ED245B"/>
  <w16cid:commentId w16cid:paraId="1847A8FA" w16cid:durableId="22E8C78A"/>
  <w16cid:commentId w16cid:paraId="69CE8917" w16cid:durableId="22E771BD"/>
  <w16cid:commentId w16cid:paraId="29D3282F" w16cid:durableId="22E8CD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84" w:rsidRDefault="00683784" w:rsidP="007E71D2">
      <w:pPr>
        <w:spacing w:line="240" w:lineRule="auto"/>
      </w:pPr>
      <w:r>
        <w:separator/>
      </w:r>
    </w:p>
  </w:endnote>
  <w:endnote w:type="continuationSeparator" w:id="0">
    <w:p w:rsidR="00683784" w:rsidRDefault="00683784" w:rsidP="007E71D2">
      <w:pPr>
        <w:spacing w:line="240" w:lineRule="auto"/>
      </w:pPr>
      <w:r>
        <w:continuationSeparator/>
      </w:r>
    </w:p>
  </w:endnote>
  <w:endnote w:type="continuationNotice" w:id="1">
    <w:p w:rsidR="00683784" w:rsidRDefault="006837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022340"/>
      <w:docPartObj>
        <w:docPartGallery w:val="Page Numbers (Bottom of Page)"/>
        <w:docPartUnique/>
      </w:docPartObj>
    </w:sdtPr>
    <w:sdtEndPr>
      <w:rPr>
        <w:noProof/>
      </w:rPr>
    </w:sdtEndPr>
    <w:sdtContent>
      <w:p w:rsidR="00EB2F01" w:rsidRDefault="00EB2F01" w:rsidP="007D6282">
        <w:pPr>
          <w:pStyle w:val="Footer"/>
          <w:jc w:val="center"/>
        </w:pPr>
        <w:r>
          <w:fldChar w:fldCharType="begin"/>
        </w:r>
        <w:r>
          <w:instrText xml:space="preserve"> PAGE   \* MERGEFORMAT </w:instrText>
        </w:r>
        <w:r>
          <w:fldChar w:fldCharType="separate"/>
        </w:r>
        <w:r w:rsidR="00597DAD">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84" w:rsidRDefault="00683784" w:rsidP="007E71D2">
      <w:pPr>
        <w:spacing w:line="240" w:lineRule="auto"/>
      </w:pPr>
      <w:r>
        <w:separator/>
      </w:r>
    </w:p>
  </w:footnote>
  <w:footnote w:type="continuationSeparator" w:id="0">
    <w:p w:rsidR="00683784" w:rsidRDefault="00683784" w:rsidP="007E71D2">
      <w:pPr>
        <w:spacing w:line="240" w:lineRule="auto"/>
      </w:pPr>
      <w:r>
        <w:continuationSeparator/>
      </w:r>
    </w:p>
  </w:footnote>
  <w:footnote w:type="continuationNotice" w:id="1">
    <w:p w:rsidR="00683784" w:rsidRDefault="00683784">
      <w:pPr>
        <w:spacing w:line="240" w:lineRule="auto"/>
      </w:pPr>
    </w:p>
  </w:footnote>
  <w:footnote w:id="2">
    <w:p w:rsidR="00EB2F01" w:rsidRPr="007D6282" w:rsidRDefault="00EB2F01" w:rsidP="00C82EBC">
      <w:pPr>
        <w:pStyle w:val="FootnoteText"/>
        <w:tabs>
          <w:tab w:val="left" w:pos="567"/>
        </w:tabs>
        <w:rPr>
          <w:sz w:val="16"/>
          <w:szCs w:val="16"/>
        </w:rPr>
      </w:pPr>
      <w:r>
        <w:rPr>
          <w:rStyle w:val="FootnoteReference"/>
          <w:sz w:val="24"/>
          <w:szCs w:val="24"/>
        </w:rPr>
        <w:footnoteRef/>
      </w:r>
      <w:r>
        <w:t xml:space="preserve"> </w:t>
      </w:r>
      <w:r>
        <w:tab/>
      </w:r>
      <w:hyperlink r:id="rId1" w:history="1">
        <w:r>
          <w:rPr>
            <w:rStyle w:val="Hyperlink"/>
            <w:sz w:val="16"/>
            <w:szCs w:val="16"/>
          </w:rPr>
          <w:t>https://ec.europa.eu/commission/sites/beta-political/files/reflection-paper-social-dimension-europe_fi.pdf</w:t>
        </w:r>
      </w:hyperlink>
    </w:p>
  </w:footnote>
  <w:footnote w:id="3">
    <w:p w:rsidR="00EB2F01" w:rsidRPr="007D6282" w:rsidRDefault="00EB2F01" w:rsidP="007D6282">
      <w:pPr>
        <w:pStyle w:val="FootnoteText"/>
        <w:tabs>
          <w:tab w:val="left" w:pos="567"/>
        </w:tabs>
        <w:rPr>
          <w:sz w:val="16"/>
          <w:szCs w:val="16"/>
        </w:rPr>
      </w:pPr>
      <w:r>
        <w:rPr>
          <w:rStyle w:val="FootnoteReference"/>
          <w:sz w:val="24"/>
          <w:szCs w:val="24"/>
        </w:rPr>
        <w:footnoteRef/>
      </w:r>
      <w:r>
        <w:t xml:space="preserve"> </w:t>
      </w:r>
      <w:r>
        <w:tab/>
      </w:r>
      <w:hyperlink r:id="rId2" w:history="1">
        <w:r>
          <w:rPr>
            <w:rStyle w:val="Hyperlink"/>
            <w:sz w:val="16"/>
            <w:szCs w:val="16"/>
          </w:rPr>
          <w:t>https://eur-lex.europa.eu/LexUriServ/LexUriServ.do?uri=OJ:C:2012:102:0006:0010:FI:PDF</w:t>
        </w:r>
      </w:hyperlink>
    </w:p>
  </w:footnote>
  <w:footnote w:id="4">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t xml:space="preserve"> </w:t>
      </w:r>
      <w:r>
        <w:tab/>
        <w:t>COM(2020) 447 final.</w:t>
      </w:r>
    </w:p>
  </w:footnote>
  <w:footnote w:id="5">
    <w:p w:rsidR="00EB2F01" w:rsidRPr="00597DAD" w:rsidRDefault="00EB2F01" w:rsidP="00597DAD">
      <w:pPr>
        <w:pStyle w:val="FootnoteText"/>
        <w:tabs>
          <w:tab w:val="left" w:pos="567"/>
        </w:tabs>
        <w:ind w:left="567" w:hanging="567"/>
        <w:jc w:val="both"/>
      </w:pPr>
      <w:r>
        <w:rPr>
          <w:rStyle w:val="FootnoteReference"/>
          <w:sz w:val="24"/>
          <w:szCs w:val="24"/>
        </w:rPr>
        <w:footnoteRef/>
      </w:r>
      <w:r>
        <w:rPr>
          <w:rStyle w:val="FootnoteReference"/>
          <w:sz w:val="24"/>
          <w:szCs w:val="24"/>
        </w:rPr>
        <w:t xml:space="preserve"> </w:t>
      </w:r>
      <w:r>
        <w:rPr>
          <w:sz w:val="16"/>
          <w:szCs w:val="16"/>
        </w:rPr>
        <w:tab/>
      </w:r>
      <w:r w:rsidRPr="00597DAD">
        <w:t>Tiedonannossaan ”Nuorisotyöllisyyden tukeminen: silta työelämään seuraavalle sukupolvelle” (COM(2020) 276 final) komissio kehotti jäsenvaltioita tehostamaan nuorisotyöllisyyden tukemista ja lisäämään tähän tavoitteeseen osoitettujen varojen määrää vuosien 2014–2020 rahoituskauden arvioituun 22 miljardiin euroon verrattuna.</w:t>
      </w:r>
    </w:p>
  </w:footnote>
  <w:footnote w:id="6">
    <w:p w:rsidR="00EB2F01" w:rsidRPr="007D6282" w:rsidRDefault="00EB2F01" w:rsidP="00597DAD">
      <w:pPr>
        <w:pStyle w:val="FootnoteText"/>
        <w:tabs>
          <w:tab w:val="left" w:pos="567"/>
        </w:tabs>
        <w:ind w:left="567" w:hanging="567"/>
        <w:jc w:val="both"/>
        <w:rPr>
          <w:sz w:val="16"/>
          <w:szCs w:val="16"/>
        </w:rPr>
      </w:pPr>
      <w:r>
        <w:rPr>
          <w:rStyle w:val="FootnoteReference"/>
          <w:sz w:val="24"/>
          <w:szCs w:val="24"/>
        </w:rPr>
        <w:footnoteRef/>
      </w:r>
      <w:r>
        <w:t xml:space="preserve"> </w:t>
      </w:r>
      <w:r>
        <w:tab/>
        <w:t>Neuvoston suosituksesta ”Silta työelämään – entistä vahvempi nuorisotakuu” sovitaan poliittisesti neuvostossa, ja se hyväksytään ennen vuoden 2020 loppua.</w:t>
      </w:r>
    </w:p>
  </w:footnote>
  <w:footnote w:id="7">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t xml:space="preserve"> </w:t>
      </w:r>
      <w:r>
        <w:tab/>
        <w:t>COM(2020) 276 final.</w:t>
      </w:r>
      <w:r>
        <w:rPr>
          <w:sz w:val="16"/>
          <w:szCs w:val="16"/>
        </w:rPr>
        <w:t xml:space="preserve"> </w:t>
      </w:r>
    </w:p>
  </w:footnote>
  <w:footnote w:id="8">
    <w:p w:rsidR="002867F1" w:rsidRPr="007D6282" w:rsidRDefault="002867F1">
      <w:pPr>
        <w:pStyle w:val="FootnoteText"/>
        <w:rPr>
          <w:sz w:val="16"/>
          <w:szCs w:val="16"/>
        </w:rPr>
      </w:pPr>
      <w:r>
        <w:rPr>
          <w:rStyle w:val="FootnoteReference"/>
          <w:sz w:val="24"/>
          <w:szCs w:val="24"/>
        </w:rPr>
        <w:footnoteRef/>
      </w:r>
      <w:r>
        <w:t xml:space="preserve"> </w:t>
      </w:r>
      <w:r>
        <w:tab/>
        <w:t>COM(2020) 274 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1C97EA"/>
    <w:lvl w:ilvl="0">
      <w:start w:val="1"/>
      <w:numFmt w:val="decimal"/>
      <w:lvlText w:val="%1."/>
      <w:legacy w:legacy="1" w:legacySpace="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144" w:legacyIndent="0"/>
      <w:lvlJc w:val="left"/>
      <w:rPr>
        <w:b w:val="0"/>
      </w:rPr>
    </w:lvl>
    <w:lvl w:ilvl="2">
      <w:start w:val="1"/>
      <w:numFmt w:val="decimal"/>
      <w:lvlText w:val="%1.%2.%3"/>
      <w:legacy w:legacy="1" w:legacySpace="144" w:legacyIndent="0"/>
      <w:lvlJc w:val="left"/>
      <w:rPr>
        <w:b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75010D"/>
    <w:multiLevelType w:val="hybridMultilevel"/>
    <w:tmpl w:val="E924CD2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E26D84"/>
    <w:multiLevelType w:val="hybridMultilevel"/>
    <w:tmpl w:val="3C9A2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E10D59"/>
    <w:multiLevelType w:val="hybridMultilevel"/>
    <w:tmpl w:val="A8204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360DF6"/>
    <w:multiLevelType w:val="hybridMultilevel"/>
    <w:tmpl w:val="DEAC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637C1B"/>
    <w:multiLevelType w:val="hybridMultilevel"/>
    <w:tmpl w:val="DE22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794F"/>
    <w:multiLevelType w:val="hybridMultilevel"/>
    <w:tmpl w:val="2F448F7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16AF6D72"/>
    <w:multiLevelType w:val="hybridMultilevel"/>
    <w:tmpl w:val="0156B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2E3ADF"/>
    <w:multiLevelType w:val="hybridMultilevel"/>
    <w:tmpl w:val="9884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4A2E0E"/>
    <w:multiLevelType w:val="hybridMultilevel"/>
    <w:tmpl w:val="077EC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FB3D22"/>
    <w:multiLevelType w:val="hybridMultilevel"/>
    <w:tmpl w:val="C8C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0A0A3A"/>
    <w:multiLevelType w:val="hybridMultilevel"/>
    <w:tmpl w:val="19C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85706E"/>
    <w:multiLevelType w:val="hybridMultilevel"/>
    <w:tmpl w:val="2D3CA36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27DF3DB0"/>
    <w:multiLevelType w:val="hybridMultilevel"/>
    <w:tmpl w:val="B432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0727B0"/>
    <w:multiLevelType w:val="hybridMultilevel"/>
    <w:tmpl w:val="67E07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D4864EC"/>
    <w:multiLevelType w:val="hybridMultilevel"/>
    <w:tmpl w:val="150CDC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30D35B15"/>
    <w:multiLevelType w:val="hybridMultilevel"/>
    <w:tmpl w:val="FC447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9C1308"/>
    <w:multiLevelType w:val="hybridMultilevel"/>
    <w:tmpl w:val="D716FD6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1819A8"/>
    <w:multiLevelType w:val="hybridMultilevel"/>
    <w:tmpl w:val="D310C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DA2403"/>
    <w:multiLevelType w:val="hybridMultilevel"/>
    <w:tmpl w:val="8A429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9E1247"/>
    <w:multiLevelType w:val="hybridMultilevel"/>
    <w:tmpl w:val="1F4C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414E37"/>
    <w:multiLevelType w:val="hybridMultilevel"/>
    <w:tmpl w:val="2C5C0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36E80"/>
    <w:multiLevelType w:val="hybridMultilevel"/>
    <w:tmpl w:val="0E66A7FE"/>
    <w:lvl w:ilvl="0" w:tplc="0809000F">
      <w:start w:val="1"/>
      <w:numFmt w:val="decimal"/>
      <w:lvlText w:val="%1."/>
      <w:lvlJc w:val="left"/>
      <w:pPr>
        <w:ind w:left="360" w:hanging="360"/>
      </w:pPr>
    </w:lvl>
    <w:lvl w:ilvl="1" w:tplc="3CE6A304">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351A38"/>
    <w:multiLevelType w:val="hybridMultilevel"/>
    <w:tmpl w:val="3162C3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85E14A5"/>
    <w:multiLevelType w:val="hybridMultilevel"/>
    <w:tmpl w:val="5CC67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877317D"/>
    <w:multiLevelType w:val="hybridMultilevel"/>
    <w:tmpl w:val="6A885AB2"/>
    <w:lvl w:ilvl="0" w:tplc="3F1A2BB6">
      <w:start w:val="19"/>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10161A9"/>
    <w:multiLevelType w:val="hybridMultilevel"/>
    <w:tmpl w:val="9EE40B06"/>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E36C4"/>
    <w:multiLevelType w:val="hybridMultilevel"/>
    <w:tmpl w:val="8B62B0B8"/>
    <w:lvl w:ilvl="0" w:tplc="0809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9F14D7F"/>
    <w:multiLevelType w:val="hybridMultilevel"/>
    <w:tmpl w:val="7F2E71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7E2FCA"/>
    <w:multiLevelType w:val="hybridMultilevel"/>
    <w:tmpl w:val="3446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E70112"/>
    <w:multiLevelType w:val="hybridMultilevel"/>
    <w:tmpl w:val="93C8C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BED3DA0"/>
    <w:multiLevelType w:val="hybridMultilevel"/>
    <w:tmpl w:val="CC325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F207D62"/>
    <w:multiLevelType w:val="hybridMultilevel"/>
    <w:tmpl w:val="BF525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825AC9"/>
    <w:multiLevelType w:val="hybridMultilevel"/>
    <w:tmpl w:val="2744D9E4"/>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FA460E"/>
    <w:multiLevelType w:val="multilevel"/>
    <w:tmpl w:val="C150BB92"/>
    <w:lvl w:ilvl="0">
      <w:start w:val="1"/>
      <w:numFmt w:val="decimal"/>
      <w:lvlText w:val="%1."/>
      <w:lvlJc w:val="left"/>
      <w:pPr>
        <w:ind w:left="360" w:hanging="360"/>
      </w:pPr>
      <w:rPr>
        <w:rFonts w:hint="default"/>
      </w:rPr>
    </w:lvl>
    <w:lvl w:ilvl="1">
      <w:start w:val="4"/>
      <w:numFmt w:val="decimal"/>
      <w:isLgl/>
      <w:lvlText w:val="%1.%2."/>
      <w:lvlJc w:val="left"/>
      <w:pPr>
        <w:ind w:left="570" w:hanging="57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891A7C"/>
    <w:multiLevelType w:val="hybridMultilevel"/>
    <w:tmpl w:val="67280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15C8B"/>
    <w:multiLevelType w:val="hybridMultilevel"/>
    <w:tmpl w:val="3540373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8D84E72"/>
    <w:multiLevelType w:val="hybridMultilevel"/>
    <w:tmpl w:val="6D8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AA266CD"/>
    <w:multiLevelType w:val="hybridMultilevel"/>
    <w:tmpl w:val="8B2A6B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424AAB"/>
    <w:multiLevelType w:val="hybridMultilevel"/>
    <w:tmpl w:val="768A0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FD3F4A"/>
    <w:multiLevelType w:val="hybridMultilevel"/>
    <w:tmpl w:val="5144F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DD351C0"/>
    <w:multiLevelType w:val="hybridMultilevel"/>
    <w:tmpl w:val="F27AE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8"/>
  </w:num>
  <w:num w:numId="4">
    <w:abstractNumId w:val="13"/>
  </w:num>
  <w:num w:numId="5">
    <w:abstractNumId w:val="31"/>
  </w:num>
  <w:num w:numId="6">
    <w:abstractNumId w:val="9"/>
  </w:num>
  <w:num w:numId="7">
    <w:abstractNumId w:val="8"/>
  </w:num>
  <w:num w:numId="8">
    <w:abstractNumId w:val="40"/>
  </w:num>
  <w:num w:numId="9">
    <w:abstractNumId w:val="15"/>
  </w:num>
  <w:num w:numId="10">
    <w:abstractNumId w:val="3"/>
  </w:num>
  <w:num w:numId="11">
    <w:abstractNumId w:val="30"/>
  </w:num>
  <w:num w:numId="12">
    <w:abstractNumId w:val="14"/>
  </w:num>
  <w:num w:numId="13">
    <w:abstractNumId w:val="36"/>
  </w:num>
  <w:num w:numId="14">
    <w:abstractNumId w:val="27"/>
  </w:num>
  <w:num w:numId="15">
    <w:abstractNumId w:val="2"/>
  </w:num>
  <w:num w:numId="16">
    <w:abstractNumId w:val="22"/>
  </w:num>
  <w:num w:numId="17">
    <w:abstractNumId w:val="12"/>
  </w:num>
  <w:num w:numId="18">
    <w:abstractNumId w:val="25"/>
  </w:num>
  <w:num w:numId="19">
    <w:abstractNumId w:val="20"/>
  </w:num>
  <w:num w:numId="20">
    <w:abstractNumId w:val="23"/>
  </w:num>
  <w:num w:numId="21">
    <w:abstractNumId w:val="21"/>
  </w:num>
  <w:num w:numId="22">
    <w:abstractNumId w:val="34"/>
  </w:num>
  <w:num w:numId="23">
    <w:abstractNumId w:val="5"/>
  </w:num>
  <w:num w:numId="24">
    <w:abstractNumId w:val="16"/>
  </w:num>
  <w:num w:numId="25">
    <w:abstractNumId w:val="17"/>
  </w:num>
  <w:num w:numId="26">
    <w:abstractNumId w:val="35"/>
  </w:num>
  <w:num w:numId="27">
    <w:abstractNumId w:val="11"/>
  </w:num>
  <w:num w:numId="28">
    <w:abstractNumId w:val="26"/>
  </w:num>
  <w:num w:numId="29">
    <w:abstractNumId w:val="33"/>
  </w:num>
  <w:num w:numId="30">
    <w:abstractNumId w:val="32"/>
  </w:num>
  <w:num w:numId="31">
    <w:abstractNumId w:val="7"/>
  </w:num>
  <w:num w:numId="32">
    <w:abstractNumId w:val="38"/>
  </w:num>
  <w:num w:numId="33">
    <w:abstractNumId w:val="29"/>
  </w:num>
  <w:num w:numId="34">
    <w:abstractNumId w:val="24"/>
  </w:num>
  <w:num w:numId="35">
    <w:abstractNumId w:val="28"/>
  </w:num>
  <w:num w:numId="36">
    <w:abstractNumId w:val="41"/>
  </w:num>
  <w:num w:numId="37">
    <w:abstractNumId w:val="6"/>
  </w:num>
  <w:num w:numId="38">
    <w:abstractNumId w:val="37"/>
  </w:num>
  <w:num w:numId="39">
    <w:abstractNumId w:val="39"/>
  </w:num>
  <w:num w:numId="40">
    <w:abstractNumId w:val="19"/>
  </w:num>
  <w:num w:numId="41">
    <w:abstractNumId w:val="10"/>
  </w:num>
  <w:num w:numId="42">
    <w:abstractNumId w:val="4"/>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2285A"/>
    <w:rsid w:val="000115F3"/>
    <w:rsid w:val="00014693"/>
    <w:rsid w:val="00014E6A"/>
    <w:rsid w:val="0001607A"/>
    <w:rsid w:val="0002399B"/>
    <w:rsid w:val="00025C0A"/>
    <w:rsid w:val="00032B76"/>
    <w:rsid w:val="00034B02"/>
    <w:rsid w:val="00041D24"/>
    <w:rsid w:val="00046905"/>
    <w:rsid w:val="0005130E"/>
    <w:rsid w:val="00052C63"/>
    <w:rsid w:val="00052CB0"/>
    <w:rsid w:val="00053254"/>
    <w:rsid w:val="00053923"/>
    <w:rsid w:val="0005456E"/>
    <w:rsid w:val="00067F05"/>
    <w:rsid w:val="00081341"/>
    <w:rsid w:val="00092FB6"/>
    <w:rsid w:val="000938C4"/>
    <w:rsid w:val="000A0D57"/>
    <w:rsid w:val="000A676E"/>
    <w:rsid w:val="000A7400"/>
    <w:rsid w:val="000B6015"/>
    <w:rsid w:val="000B6528"/>
    <w:rsid w:val="000D7781"/>
    <w:rsid w:val="000F034A"/>
    <w:rsid w:val="000F3666"/>
    <w:rsid w:val="000F448C"/>
    <w:rsid w:val="00100433"/>
    <w:rsid w:val="00122601"/>
    <w:rsid w:val="001303C7"/>
    <w:rsid w:val="00131BAD"/>
    <w:rsid w:val="00133C10"/>
    <w:rsid w:val="00135709"/>
    <w:rsid w:val="00141B6A"/>
    <w:rsid w:val="001508E5"/>
    <w:rsid w:val="00150CCB"/>
    <w:rsid w:val="00151730"/>
    <w:rsid w:val="00161FA6"/>
    <w:rsid w:val="00162E43"/>
    <w:rsid w:val="00164507"/>
    <w:rsid w:val="00164C40"/>
    <w:rsid w:val="00165C5A"/>
    <w:rsid w:val="00170B9B"/>
    <w:rsid w:val="00176CAE"/>
    <w:rsid w:val="0018679E"/>
    <w:rsid w:val="00192316"/>
    <w:rsid w:val="00194608"/>
    <w:rsid w:val="001A2814"/>
    <w:rsid w:val="001A2928"/>
    <w:rsid w:val="001A2D75"/>
    <w:rsid w:val="001B3DE5"/>
    <w:rsid w:val="001B62E2"/>
    <w:rsid w:val="001C24E4"/>
    <w:rsid w:val="001C2739"/>
    <w:rsid w:val="001D1C58"/>
    <w:rsid w:val="001D49B1"/>
    <w:rsid w:val="001D6B54"/>
    <w:rsid w:val="001D7401"/>
    <w:rsid w:val="001E18B4"/>
    <w:rsid w:val="001F20A4"/>
    <w:rsid w:val="00202FA0"/>
    <w:rsid w:val="00206C91"/>
    <w:rsid w:val="00207F48"/>
    <w:rsid w:val="002143E7"/>
    <w:rsid w:val="00216B6A"/>
    <w:rsid w:val="00221331"/>
    <w:rsid w:val="002302EF"/>
    <w:rsid w:val="0023381A"/>
    <w:rsid w:val="00234ED5"/>
    <w:rsid w:val="0023752B"/>
    <w:rsid w:val="00237BCF"/>
    <w:rsid w:val="00256E2E"/>
    <w:rsid w:val="00256F0C"/>
    <w:rsid w:val="002574BD"/>
    <w:rsid w:val="00267B85"/>
    <w:rsid w:val="00275FB7"/>
    <w:rsid w:val="00276AF1"/>
    <w:rsid w:val="00283BCC"/>
    <w:rsid w:val="002849B5"/>
    <w:rsid w:val="002867F1"/>
    <w:rsid w:val="00297A95"/>
    <w:rsid w:val="002C2A13"/>
    <w:rsid w:val="002D435E"/>
    <w:rsid w:val="002D4474"/>
    <w:rsid w:val="002D687E"/>
    <w:rsid w:val="002D78A2"/>
    <w:rsid w:val="002E4558"/>
    <w:rsid w:val="002E7C63"/>
    <w:rsid w:val="00302240"/>
    <w:rsid w:val="003179F6"/>
    <w:rsid w:val="0032643C"/>
    <w:rsid w:val="00330D7D"/>
    <w:rsid w:val="00343863"/>
    <w:rsid w:val="00356DF4"/>
    <w:rsid w:val="00360D28"/>
    <w:rsid w:val="00363E4E"/>
    <w:rsid w:val="0038092C"/>
    <w:rsid w:val="00381051"/>
    <w:rsid w:val="003814FB"/>
    <w:rsid w:val="003825D2"/>
    <w:rsid w:val="003831AE"/>
    <w:rsid w:val="00394636"/>
    <w:rsid w:val="00397E5D"/>
    <w:rsid w:val="003A17FB"/>
    <w:rsid w:val="003B12A8"/>
    <w:rsid w:val="003C1C84"/>
    <w:rsid w:val="003C2756"/>
    <w:rsid w:val="003C6A76"/>
    <w:rsid w:val="003D208F"/>
    <w:rsid w:val="003D64D4"/>
    <w:rsid w:val="003E0FE7"/>
    <w:rsid w:val="003E36A3"/>
    <w:rsid w:val="003F310F"/>
    <w:rsid w:val="00416589"/>
    <w:rsid w:val="00416F28"/>
    <w:rsid w:val="00421A56"/>
    <w:rsid w:val="00422DE3"/>
    <w:rsid w:val="00455FAA"/>
    <w:rsid w:val="00457987"/>
    <w:rsid w:val="004672CD"/>
    <w:rsid w:val="00467B9B"/>
    <w:rsid w:val="00474C1C"/>
    <w:rsid w:val="004817E9"/>
    <w:rsid w:val="00483C2D"/>
    <w:rsid w:val="0049793A"/>
    <w:rsid w:val="004A63B0"/>
    <w:rsid w:val="004C08B7"/>
    <w:rsid w:val="004C40A8"/>
    <w:rsid w:val="004D5A56"/>
    <w:rsid w:val="004D6DCD"/>
    <w:rsid w:val="004D765D"/>
    <w:rsid w:val="004E1969"/>
    <w:rsid w:val="004E394E"/>
    <w:rsid w:val="004E6147"/>
    <w:rsid w:val="004E6536"/>
    <w:rsid w:val="004E71CD"/>
    <w:rsid w:val="004F3E8B"/>
    <w:rsid w:val="004F4966"/>
    <w:rsid w:val="004F6D31"/>
    <w:rsid w:val="00501E02"/>
    <w:rsid w:val="00504067"/>
    <w:rsid w:val="00512960"/>
    <w:rsid w:val="00516393"/>
    <w:rsid w:val="0051715E"/>
    <w:rsid w:val="00520210"/>
    <w:rsid w:val="0052074E"/>
    <w:rsid w:val="00523C75"/>
    <w:rsid w:val="00527019"/>
    <w:rsid w:val="005366D6"/>
    <w:rsid w:val="00541BE3"/>
    <w:rsid w:val="00542BFC"/>
    <w:rsid w:val="00544F9B"/>
    <w:rsid w:val="00545845"/>
    <w:rsid w:val="00546AEC"/>
    <w:rsid w:val="00551DF1"/>
    <w:rsid w:val="00557917"/>
    <w:rsid w:val="005708AD"/>
    <w:rsid w:val="00574134"/>
    <w:rsid w:val="005810D1"/>
    <w:rsid w:val="00583165"/>
    <w:rsid w:val="00591229"/>
    <w:rsid w:val="005977FF"/>
    <w:rsid w:val="00597990"/>
    <w:rsid w:val="00597DAD"/>
    <w:rsid w:val="005A4DE6"/>
    <w:rsid w:val="005B2DC3"/>
    <w:rsid w:val="005B3884"/>
    <w:rsid w:val="005C55D6"/>
    <w:rsid w:val="005D06A9"/>
    <w:rsid w:val="005D5EB3"/>
    <w:rsid w:val="005E422E"/>
    <w:rsid w:val="00600069"/>
    <w:rsid w:val="00601828"/>
    <w:rsid w:val="006106B7"/>
    <w:rsid w:val="0062568E"/>
    <w:rsid w:val="00637313"/>
    <w:rsid w:val="006475F5"/>
    <w:rsid w:val="00651753"/>
    <w:rsid w:val="00662DAD"/>
    <w:rsid w:val="00680D0A"/>
    <w:rsid w:val="00683784"/>
    <w:rsid w:val="0068468C"/>
    <w:rsid w:val="00685424"/>
    <w:rsid w:val="00690EA1"/>
    <w:rsid w:val="006A0A27"/>
    <w:rsid w:val="006A3AC8"/>
    <w:rsid w:val="006A6308"/>
    <w:rsid w:val="006C313B"/>
    <w:rsid w:val="006C7232"/>
    <w:rsid w:val="006D03C7"/>
    <w:rsid w:val="006D7CA9"/>
    <w:rsid w:val="006E239E"/>
    <w:rsid w:val="006E25E8"/>
    <w:rsid w:val="006E2F96"/>
    <w:rsid w:val="006E637D"/>
    <w:rsid w:val="006F05D5"/>
    <w:rsid w:val="006F1412"/>
    <w:rsid w:val="00707604"/>
    <w:rsid w:val="00713D60"/>
    <w:rsid w:val="0072116E"/>
    <w:rsid w:val="00721DAE"/>
    <w:rsid w:val="0072285A"/>
    <w:rsid w:val="00727544"/>
    <w:rsid w:val="00733ED3"/>
    <w:rsid w:val="0073453E"/>
    <w:rsid w:val="00735CF1"/>
    <w:rsid w:val="0074046E"/>
    <w:rsid w:val="00760515"/>
    <w:rsid w:val="007753DD"/>
    <w:rsid w:val="00777281"/>
    <w:rsid w:val="00777E8D"/>
    <w:rsid w:val="007905B1"/>
    <w:rsid w:val="007923D6"/>
    <w:rsid w:val="00795798"/>
    <w:rsid w:val="007A1EBE"/>
    <w:rsid w:val="007A4C60"/>
    <w:rsid w:val="007C0020"/>
    <w:rsid w:val="007C4B51"/>
    <w:rsid w:val="007D5468"/>
    <w:rsid w:val="007D6282"/>
    <w:rsid w:val="007D78B0"/>
    <w:rsid w:val="007E1479"/>
    <w:rsid w:val="007E71D2"/>
    <w:rsid w:val="007F06FE"/>
    <w:rsid w:val="007F2CBE"/>
    <w:rsid w:val="00802BB6"/>
    <w:rsid w:val="00812835"/>
    <w:rsid w:val="00813159"/>
    <w:rsid w:val="00813175"/>
    <w:rsid w:val="0081584B"/>
    <w:rsid w:val="00816F4D"/>
    <w:rsid w:val="00824102"/>
    <w:rsid w:val="0082432A"/>
    <w:rsid w:val="008334CE"/>
    <w:rsid w:val="00834904"/>
    <w:rsid w:val="00843D2C"/>
    <w:rsid w:val="00844255"/>
    <w:rsid w:val="00862342"/>
    <w:rsid w:val="00864E4E"/>
    <w:rsid w:val="008707AC"/>
    <w:rsid w:val="0087706E"/>
    <w:rsid w:val="008839C1"/>
    <w:rsid w:val="008911F1"/>
    <w:rsid w:val="00892F78"/>
    <w:rsid w:val="0089643A"/>
    <w:rsid w:val="008B149E"/>
    <w:rsid w:val="008C0E34"/>
    <w:rsid w:val="008C4469"/>
    <w:rsid w:val="008D2AB3"/>
    <w:rsid w:val="008D4711"/>
    <w:rsid w:val="008D5638"/>
    <w:rsid w:val="008E118B"/>
    <w:rsid w:val="008F79F2"/>
    <w:rsid w:val="00900A36"/>
    <w:rsid w:val="009049AD"/>
    <w:rsid w:val="00905E0B"/>
    <w:rsid w:val="00913EFC"/>
    <w:rsid w:val="0092426C"/>
    <w:rsid w:val="009243B3"/>
    <w:rsid w:val="00934DE3"/>
    <w:rsid w:val="009521C5"/>
    <w:rsid w:val="009556D1"/>
    <w:rsid w:val="00955CC3"/>
    <w:rsid w:val="00956A7E"/>
    <w:rsid w:val="0096073F"/>
    <w:rsid w:val="00963831"/>
    <w:rsid w:val="00963907"/>
    <w:rsid w:val="00963CAE"/>
    <w:rsid w:val="00964812"/>
    <w:rsid w:val="00966530"/>
    <w:rsid w:val="00975F99"/>
    <w:rsid w:val="00980663"/>
    <w:rsid w:val="009A26F3"/>
    <w:rsid w:val="009A3B0A"/>
    <w:rsid w:val="009A6986"/>
    <w:rsid w:val="009B4D06"/>
    <w:rsid w:val="009D4BA6"/>
    <w:rsid w:val="009D61A0"/>
    <w:rsid w:val="009E1D16"/>
    <w:rsid w:val="009F12EC"/>
    <w:rsid w:val="00A01F44"/>
    <w:rsid w:val="00A10939"/>
    <w:rsid w:val="00A1673A"/>
    <w:rsid w:val="00A22BE1"/>
    <w:rsid w:val="00A22F3A"/>
    <w:rsid w:val="00A23EB5"/>
    <w:rsid w:val="00A26CF2"/>
    <w:rsid w:val="00A27344"/>
    <w:rsid w:val="00A3011E"/>
    <w:rsid w:val="00A31CB4"/>
    <w:rsid w:val="00A3420D"/>
    <w:rsid w:val="00A374F6"/>
    <w:rsid w:val="00A44404"/>
    <w:rsid w:val="00A44C00"/>
    <w:rsid w:val="00A571FB"/>
    <w:rsid w:val="00A60CBD"/>
    <w:rsid w:val="00A627FF"/>
    <w:rsid w:val="00A6794C"/>
    <w:rsid w:val="00AA0A34"/>
    <w:rsid w:val="00AC32BD"/>
    <w:rsid w:val="00AE25ED"/>
    <w:rsid w:val="00AE28C2"/>
    <w:rsid w:val="00AF2098"/>
    <w:rsid w:val="00AF3183"/>
    <w:rsid w:val="00B00737"/>
    <w:rsid w:val="00B106AE"/>
    <w:rsid w:val="00B2663E"/>
    <w:rsid w:val="00B322C0"/>
    <w:rsid w:val="00B34D34"/>
    <w:rsid w:val="00B40809"/>
    <w:rsid w:val="00B439B5"/>
    <w:rsid w:val="00B64CF9"/>
    <w:rsid w:val="00B65A9B"/>
    <w:rsid w:val="00B7123C"/>
    <w:rsid w:val="00B82791"/>
    <w:rsid w:val="00B84141"/>
    <w:rsid w:val="00B84E8E"/>
    <w:rsid w:val="00B8537F"/>
    <w:rsid w:val="00B85A43"/>
    <w:rsid w:val="00B8636D"/>
    <w:rsid w:val="00B8680B"/>
    <w:rsid w:val="00B87B5D"/>
    <w:rsid w:val="00B9336C"/>
    <w:rsid w:val="00BA1F92"/>
    <w:rsid w:val="00BB1B45"/>
    <w:rsid w:val="00BB2C93"/>
    <w:rsid w:val="00BB429C"/>
    <w:rsid w:val="00BB7CA9"/>
    <w:rsid w:val="00BC2F4F"/>
    <w:rsid w:val="00BC4DFB"/>
    <w:rsid w:val="00BD1A92"/>
    <w:rsid w:val="00BD5B75"/>
    <w:rsid w:val="00BE04A0"/>
    <w:rsid w:val="00BE4728"/>
    <w:rsid w:val="00BE4BA0"/>
    <w:rsid w:val="00C01120"/>
    <w:rsid w:val="00C01839"/>
    <w:rsid w:val="00C041EB"/>
    <w:rsid w:val="00C06CC1"/>
    <w:rsid w:val="00C06DC9"/>
    <w:rsid w:val="00C075AB"/>
    <w:rsid w:val="00C20C91"/>
    <w:rsid w:val="00C318C3"/>
    <w:rsid w:val="00C34231"/>
    <w:rsid w:val="00C35ACB"/>
    <w:rsid w:val="00C51CDC"/>
    <w:rsid w:val="00C608E8"/>
    <w:rsid w:val="00C62953"/>
    <w:rsid w:val="00C641F3"/>
    <w:rsid w:val="00C66625"/>
    <w:rsid w:val="00C6742B"/>
    <w:rsid w:val="00C75BF9"/>
    <w:rsid w:val="00C805EF"/>
    <w:rsid w:val="00C82EBC"/>
    <w:rsid w:val="00C84735"/>
    <w:rsid w:val="00C945EC"/>
    <w:rsid w:val="00C97045"/>
    <w:rsid w:val="00CA1F75"/>
    <w:rsid w:val="00CA2769"/>
    <w:rsid w:val="00CA5888"/>
    <w:rsid w:val="00CB01B5"/>
    <w:rsid w:val="00CB40F6"/>
    <w:rsid w:val="00CB59AB"/>
    <w:rsid w:val="00CB78E1"/>
    <w:rsid w:val="00CC0748"/>
    <w:rsid w:val="00CC2877"/>
    <w:rsid w:val="00CE0C02"/>
    <w:rsid w:val="00CE3FF6"/>
    <w:rsid w:val="00CE5349"/>
    <w:rsid w:val="00CE6161"/>
    <w:rsid w:val="00CE647D"/>
    <w:rsid w:val="00CF62BC"/>
    <w:rsid w:val="00D05EFB"/>
    <w:rsid w:val="00D21912"/>
    <w:rsid w:val="00D23217"/>
    <w:rsid w:val="00D2347B"/>
    <w:rsid w:val="00D30FFF"/>
    <w:rsid w:val="00D42921"/>
    <w:rsid w:val="00D46EE1"/>
    <w:rsid w:val="00D60C7D"/>
    <w:rsid w:val="00D62509"/>
    <w:rsid w:val="00D73854"/>
    <w:rsid w:val="00D83929"/>
    <w:rsid w:val="00D92803"/>
    <w:rsid w:val="00D95224"/>
    <w:rsid w:val="00D96749"/>
    <w:rsid w:val="00D970BA"/>
    <w:rsid w:val="00DA6BFC"/>
    <w:rsid w:val="00DC0DF4"/>
    <w:rsid w:val="00DC10FC"/>
    <w:rsid w:val="00DC130C"/>
    <w:rsid w:val="00DC5206"/>
    <w:rsid w:val="00DD5024"/>
    <w:rsid w:val="00DD6575"/>
    <w:rsid w:val="00DE0EAA"/>
    <w:rsid w:val="00DF7306"/>
    <w:rsid w:val="00E01C1B"/>
    <w:rsid w:val="00E01D16"/>
    <w:rsid w:val="00E02AB5"/>
    <w:rsid w:val="00E040F8"/>
    <w:rsid w:val="00E0617C"/>
    <w:rsid w:val="00E12B0B"/>
    <w:rsid w:val="00E136C4"/>
    <w:rsid w:val="00E15129"/>
    <w:rsid w:val="00E1591B"/>
    <w:rsid w:val="00E35306"/>
    <w:rsid w:val="00E3553B"/>
    <w:rsid w:val="00E416E1"/>
    <w:rsid w:val="00E437FD"/>
    <w:rsid w:val="00E44082"/>
    <w:rsid w:val="00E46B57"/>
    <w:rsid w:val="00E555CA"/>
    <w:rsid w:val="00E56486"/>
    <w:rsid w:val="00E6624D"/>
    <w:rsid w:val="00E70070"/>
    <w:rsid w:val="00E83696"/>
    <w:rsid w:val="00E92E7E"/>
    <w:rsid w:val="00EA2779"/>
    <w:rsid w:val="00EA509C"/>
    <w:rsid w:val="00EB1C0F"/>
    <w:rsid w:val="00EB2F01"/>
    <w:rsid w:val="00EB524C"/>
    <w:rsid w:val="00EB757B"/>
    <w:rsid w:val="00EC1680"/>
    <w:rsid w:val="00EC5B66"/>
    <w:rsid w:val="00ED149D"/>
    <w:rsid w:val="00ED15E6"/>
    <w:rsid w:val="00ED3456"/>
    <w:rsid w:val="00ED7ACC"/>
    <w:rsid w:val="00EE17DD"/>
    <w:rsid w:val="00EE2DE9"/>
    <w:rsid w:val="00EF2742"/>
    <w:rsid w:val="00EF499D"/>
    <w:rsid w:val="00EF64DD"/>
    <w:rsid w:val="00EF764C"/>
    <w:rsid w:val="00F04DCA"/>
    <w:rsid w:val="00F1181A"/>
    <w:rsid w:val="00F11EF0"/>
    <w:rsid w:val="00F12A32"/>
    <w:rsid w:val="00F1429C"/>
    <w:rsid w:val="00F165DD"/>
    <w:rsid w:val="00F2366F"/>
    <w:rsid w:val="00F32EC7"/>
    <w:rsid w:val="00F34D21"/>
    <w:rsid w:val="00F37A45"/>
    <w:rsid w:val="00F416B5"/>
    <w:rsid w:val="00F5129F"/>
    <w:rsid w:val="00F52BD7"/>
    <w:rsid w:val="00F56CB3"/>
    <w:rsid w:val="00F603F6"/>
    <w:rsid w:val="00F771E0"/>
    <w:rsid w:val="00F84647"/>
    <w:rsid w:val="00FA14B4"/>
    <w:rsid w:val="00FA2335"/>
    <w:rsid w:val="00FA4BF5"/>
    <w:rsid w:val="00FB2486"/>
    <w:rsid w:val="00FB5AB4"/>
    <w:rsid w:val="00FD5044"/>
    <w:rsid w:val="00FE1A83"/>
    <w:rsid w:val="00FE4F2B"/>
    <w:rsid w:val="00FF02EB"/>
    <w:rsid w:val="00FF128D"/>
    <w:rsid w:val="00FF32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156DAE2"/>
  <w15:docId w15:val="{08762808-7259-4888-8A2B-495016CBCEB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647"/>
    <w:pPr>
      <w:spacing w:after="160" w:line="259" w:lineRule="auto"/>
    </w:pPr>
  </w:style>
  <w:style w:type="paragraph" w:styleId="Heading1">
    <w:name w:val="heading 1"/>
    <w:basedOn w:val="Normal"/>
    <w:next w:val="Normal"/>
    <w:link w:val="Heading1Char"/>
    <w:qFormat/>
    <w:rsid w:val="006837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83784"/>
    <w:pPr>
      <w:outlineLvl w:val="1"/>
    </w:pPr>
  </w:style>
  <w:style w:type="paragraph" w:styleId="Heading3">
    <w:name w:val="heading 3"/>
    <w:basedOn w:val="Normal"/>
    <w:next w:val="Normal"/>
    <w:link w:val="Heading3Char"/>
    <w:qFormat/>
    <w:rsid w:val="00683784"/>
    <w:pPr>
      <w:outlineLvl w:val="2"/>
    </w:pPr>
  </w:style>
  <w:style w:type="paragraph" w:styleId="Heading4">
    <w:name w:val="heading 4"/>
    <w:basedOn w:val="Normal"/>
    <w:next w:val="Normal"/>
    <w:link w:val="Heading4Char"/>
    <w:qFormat/>
    <w:rsid w:val="00683784"/>
    <w:pPr>
      <w:outlineLvl w:val="3"/>
    </w:pPr>
  </w:style>
  <w:style w:type="paragraph" w:styleId="Heading5">
    <w:name w:val="heading 5"/>
    <w:basedOn w:val="Normal"/>
    <w:next w:val="Normal"/>
    <w:link w:val="Heading5Char"/>
    <w:qFormat/>
    <w:rsid w:val="00683784"/>
    <w:pPr>
      <w:outlineLvl w:val="4"/>
    </w:pPr>
  </w:style>
  <w:style w:type="paragraph" w:styleId="Heading6">
    <w:name w:val="heading 6"/>
    <w:basedOn w:val="Normal"/>
    <w:next w:val="Normal"/>
    <w:link w:val="Heading6Char"/>
    <w:qFormat/>
    <w:rsid w:val="00683784"/>
    <w:pPr>
      <w:outlineLvl w:val="5"/>
    </w:pPr>
  </w:style>
  <w:style w:type="paragraph" w:styleId="Heading7">
    <w:name w:val="heading 7"/>
    <w:basedOn w:val="Normal"/>
    <w:next w:val="Normal"/>
    <w:link w:val="Heading7Char"/>
    <w:qFormat/>
    <w:rsid w:val="00683784"/>
    <w:pPr>
      <w:outlineLvl w:val="6"/>
    </w:pPr>
  </w:style>
  <w:style w:type="paragraph" w:styleId="Heading8">
    <w:name w:val="heading 8"/>
    <w:basedOn w:val="Normal"/>
    <w:next w:val="Normal"/>
    <w:link w:val="Heading8Char"/>
    <w:qFormat/>
    <w:rsid w:val="00683784"/>
    <w:pPr>
      <w:outlineLvl w:val="7"/>
    </w:pPr>
  </w:style>
  <w:style w:type="paragraph" w:styleId="Heading9">
    <w:name w:val="heading 9"/>
    <w:basedOn w:val="Normal"/>
    <w:next w:val="Normal"/>
    <w:link w:val="Heading9Char"/>
    <w:qFormat/>
    <w:rsid w:val="0068378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5A"/>
    <w:pPr>
      <w:spacing w:after="200" w:line="276" w:lineRule="auto"/>
      <w:ind w:left="720"/>
      <w:contextualSpacing/>
    </w:pPr>
    <w:rPr>
      <w:rFonts w:ascii="Calibri" w:hAnsi="Calibri"/>
    </w:rPr>
  </w:style>
  <w:style w:type="paragraph" w:styleId="FootnoteText">
    <w:name w:val="footnote text"/>
    <w:basedOn w:val="Normal"/>
    <w:link w:val="FootnoteTextChar"/>
    <w:unhideWhenUsed/>
    <w:qFormat/>
    <w:rsid w:val="00683784"/>
    <w:pPr>
      <w:spacing w:line="240" w:lineRule="auto"/>
    </w:pPr>
    <w:rPr>
      <w:sz w:val="20"/>
      <w:szCs w:val="20"/>
    </w:rPr>
  </w:style>
  <w:style w:type="character" w:customStyle="1" w:styleId="FootnoteTextChar">
    <w:name w:val="Footnote Text Char"/>
    <w:basedOn w:val="DefaultParagraphFont"/>
    <w:link w:val="FootnoteText"/>
    <w:rsid w:val="007E71D2"/>
    <w:rPr>
      <w:sz w:val="20"/>
      <w:szCs w:val="20"/>
      <w:lang w:val="fi-FI"/>
    </w:rPr>
  </w:style>
  <w:style w:type="character" w:styleId="FootnoteReference">
    <w:name w:val="footnote reference"/>
    <w:basedOn w:val="DefaultParagraphFont"/>
    <w:unhideWhenUsed/>
    <w:qFormat/>
    <w:rsid w:val="00683784"/>
    <w:rPr>
      <w:vertAlign w:val="superscript"/>
    </w:rPr>
  </w:style>
  <w:style w:type="character" w:styleId="CommentReference">
    <w:name w:val="annotation reference"/>
    <w:basedOn w:val="DefaultParagraphFont"/>
    <w:uiPriority w:val="99"/>
    <w:semiHidden/>
    <w:unhideWhenUsed/>
    <w:rsid w:val="007A4C60"/>
    <w:rPr>
      <w:sz w:val="16"/>
      <w:szCs w:val="16"/>
    </w:rPr>
  </w:style>
  <w:style w:type="paragraph" w:styleId="CommentText">
    <w:name w:val="annotation text"/>
    <w:basedOn w:val="Normal"/>
    <w:link w:val="CommentTextChar"/>
    <w:semiHidden/>
    <w:unhideWhenUsed/>
    <w:rsid w:val="007A4C60"/>
    <w:pPr>
      <w:spacing w:line="240" w:lineRule="auto"/>
    </w:pPr>
    <w:rPr>
      <w:sz w:val="20"/>
      <w:szCs w:val="20"/>
    </w:rPr>
  </w:style>
  <w:style w:type="character" w:customStyle="1" w:styleId="CommentTextChar">
    <w:name w:val="Comment Text Char"/>
    <w:basedOn w:val="DefaultParagraphFont"/>
    <w:link w:val="CommentText"/>
    <w:semiHidden/>
    <w:rsid w:val="007A4C60"/>
    <w:rPr>
      <w:rFonts w:ascii="Times New Roman" w:eastAsia="Times New Roman" w:hAnsi="Times New Roman" w:cs="Times New Roman"/>
      <w:sz w:val="20"/>
      <w:szCs w:val="20"/>
      <w:lang w:val="fi-FI"/>
    </w:rPr>
  </w:style>
  <w:style w:type="paragraph" w:styleId="CommentSubject">
    <w:name w:val="annotation subject"/>
    <w:basedOn w:val="CommentText"/>
    <w:next w:val="CommentText"/>
    <w:link w:val="CommentSubjectChar"/>
    <w:uiPriority w:val="99"/>
    <w:semiHidden/>
    <w:unhideWhenUsed/>
    <w:rsid w:val="007A4C60"/>
    <w:rPr>
      <w:b/>
      <w:bCs/>
    </w:rPr>
  </w:style>
  <w:style w:type="character" w:customStyle="1" w:styleId="CommentSubjectChar">
    <w:name w:val="Comment Subject Char"/>
    <w:basedOn w:val="CommentTextChar"/>
    <w:link w:val="CommentSubject"/>
    <w:uiPriority w:val="99"/>
    <w:semiHidden/>
    <w:rsid w:val="007A4C60"/>
    <w:rPr>
      <w:rFonts w:ascii="Times New Roman" w:eastAsia="Times New Roman" w:hAnsi="Times New Roman" w:cs="Times New Roman"/>
      <w:b/>
      <w:bCs/>
      <w:sz w:val="20"/>
      <w:szCs w:val="20"/>
      <w:lang w:val="fi-FI"/>
    </w:rPr>
  </w:style>
  <w:style w:type="paragraph" w:styleId="Revision">
    <w:name w:val="Revision"/>
    <w:hidden/>
    <w:uiPriority w:val="99"/>
    <w:semiHidden/>
    <w:rsid w:val="007A4C60"/>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A4C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C60"/>
    <w:rPr>
      <w:rFonts w:ascii="Tahoma" w:eastAsia="Times New Roman" w:hAnsi="Tahoma" w:cs="Tahoma"/>
      <w:sz w:val="16"/>
      <w:szCs w:val="16"/>
      <w:lang w:val="fi-FI"/>
    </w:rPr>
  </w:style>
  <w:style w:type="character" w:customStyle="1" w:styleId="normaltextrun">
    <w:name w:val="normaltextrun"/>
    <w:basedOn w:val="DefaultParagraphFont"/>
    <w:rsid w:val="00F12A32"/>
  </w:style>
  <w:style w:type="character" w:customStyle="1" w:styleId="eop">
    <w:name w:val="eop"/>
    <w:basedOn w:val="DefaultParagraphFont"/>
    <w:rsid w:val="00F12A32"/>
  </w:style>
  <w:style w:type="character" w:customStyle="1" w:styleId="spellingerror">
    <w:name w:val="spellingerror"/>
    <w:basedOn w:val="DefaultParagraphFont"/>
    <w:rsid w:val="00CC0748"/>
  </w:style>
  <w:style w:type="paragraph" w:styleId="Header">
    <w:name w:val="header"/>
    <w:basedOn w:val="Normal"/>
    <w:link w:val="HeaderChar"/>
    <w:unhideWhenUsed/>
    <w:qFormat/>
    <w:rsid w:val="00683784"/>
    <w:pPr>
      <w:tabs>
        <w:tab w:val="center" w:pos="4153"/>
        <w:tab w:val="right" w:pos="8306"/>
      </w:tabs>
      <w:spacing w:line="240" w:lineRule="auto"/>
    </w:pPr>
  </w:style>
  <w:style w:type="character" w:customStyle="1" w:styleId="HeaderChar">
    <w:name w:val="Header Char"/>
    <w:basedOn w:val="DefaultParagraphFont"/>
    <w:link w:val="Header"/>
    <w:rsid w:val="00EB1C0F"/>
    <w:rPr>
      <w:lang w:val="fi-FI"/>
    </w:rPr>
  </w:style>
  <w:style w:type="paragraph" w:styleId="Footer">
    <w:name w:val="footer"/>
    <w:basedOn w:val="Normal"/>
    <w:link w:val="FooterChar"/>
    <w:unhideWhenUsed/>
    <w:qFormat/>
    <w:rsid w:val="00683784"/>
    <w:pPr>
      <w:tabs>
        <w:tab w:val="center" w:pos="4153"/>
        <w:tab w:val="right" w:pos="8306"/>
      </w:tabs>
      <w:spacing w:line="240" w:lineRule="auto"/>
    </w:pPr>
  </w:style>
  <w:style w:type="character" w:customStyle="1" w:styleId="FooterChar">
    <w:name w:val="Footer Char"/>
    <w:basedOn w:val="DefaultParagraphFont"/>
    <w:link w:val="Footer"/>
    <w:rsid w:val="00EB1C0F"/>
    <w:rPr>
      <w:lang w:val="fi-FI"/>
    </w:rPr>
  </w:style>
  <w:style w:type="character" w:customStyle="1" w:styleId="Heading1Char">
    <w:name w:val="Heading 1 Char"/>
    <w:basedOn w:val="DefaultParagraphFont"/>
    <w:link w:val="Heading1"/>
    <w:rsid w:val="00CE5349"/>
    <w:rPr>
      <w:rFonts w:asciiTheme="majorHAnsi" w:eastAsiaTheme="majorEastAsia" w:hAnsiTheme="majorHAnsi" w:cstheme="majorBidi"/>
      <w:color w:val="365F91" w:themeColor="accent1" w:themeShade="BF"/>
      <w:sz w:val="32"/>
      <w:szCs w:val="32"/>
      <w:lang w:val="fi-FI"/>
    </w:rPr>
  </w:style>
  <w:style w:type="paragraph" w:styleId="Subtitle">
    <w:name w:val="Subtitle"/>
    <w:basedOn w:val="Normal"/>
    <w:next w:val="Normal"/>
    <w:link w:val="SubtitleChar"/>
    <w:uiPriority w:val="11"/>
    <w:qFormat/>
    <w:rsid w:val="005B2DC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B2DC3"/>
    <w:rPr>
      <w:rFonts w:eastAsiaTheme="minorEastAsia"/>
      <w:color w:val="5A5A5A" w:themeColor="text1" w:themeTint="A5"/>
      <w:spacing w:val="15"/>
      <w:lang w:val="fi-FI"/>
    </w:rPr>
  </w:style>
  <w:style w:type="character" w:styleId="Hyperlink">
    <w:name w:val="Hyperlink"/>
    <w:basedOn w:val="DefaultParagraphFont"/>
    <w:uiPriority w:val="99"/>
    <w:unhideWhenUsed/>
    <w:rsid w:val="00014E6A"/>
    <w:rPr>
      <w:color w:val="0000FF"/>
      <w:u w:val="single"/>
    </w:rPr>
  </w:style>
  <w:style w:type="character" w:customStyle="1" w:styleId="Heading2Char">
    <w:name w:val="Heading 2 Char"/>
    <w:basedOn w:val="DefaultParagraphFont"/>
    <w:link w:val="Heading2"/>
    <w:rsid w:val="00A31CB4"/>
    <w:rPr>
      <w:lang w:val="fi-FI"/>
    </w:rPr>
  </w:style>
  <w:style w:type="character" w:customStyle="1" w:styleId="Heading3Char">
    <w:name w:val="Heading 3 Char"/>
    <w:basedOn w:val="DefaultParagraphFont"/>
    <w:link w:val="Heading3"/>
    <w:rsid w:val="00A31CB4"/>
    <w:rPr>
      <w:lang w:val="fi-FI"/>
    </w:rPr>
  </w:style>
  <w:style w:type="character" w:customStyle="1" w:styleId="Heading4Char">
    <w:name w:val="Heading 4 Char"/>
    <w:basedOn w:val="DefaultParagraphFont"/>
    <w:link w:val="Heading4"/>
    <w:rsid w:val="00A31CB4"/>
    <w:rPr>
      <w:lang w:val="fi-FI"/>
    </w:rPr>
  </w:style>
  <w:style w:type="character" w:customStyle="1" w:styleId="Heading5Char">
    <w:name w:val="Heading 5 Char"/>
    <w:basedOn w:val="DefaultParagraphFont"/>
    <w:link w:val="Heading5"/>
    <w:rsid w:val="00A31CB4"/>
    <w:rPr>
      <w:lang w:val="fi-FI"/>
    </w:rPr>
  </w:style>
  <w:style w:type="character" w:customStyle="1" w:styleId="Heading6Char">
    <w:name w:val="Heading 6 Char"/>
    <w:basedOn w:val="DefaultParagraphFont"/>
    <w:link w:val="Heading6"/>
    <w:rsid w:val="00A31CB4"/>
    <w:rPr>
      <w:lang w:val="fi-FI"/>
    </w:rPr>
  </w:style>
  <w:style w:type="character" w:customStyle="1" w:styleId="Heading7Char">
    <w:name w:val="Heading 7 Char"/>
    <w:basedOn w:val="DefaultParagraphFont"/>
    <w:link w:val="Heading7"/>
    <w:rsid w:val="00A31CB4"/>
    <w:rPr>
      <w:lang w:val="fi-FI"/>
    </w:rPr>
  </w:style>
  <w:style w:type="character" w:customStyle="1" w:styleId="Heading8Char">
    <w:name w:val="Heading 8 Char"/>
    <w:basedOn w:val="DefaultParagraphFont"/>
    <w:link w:val="Heading8"/>
    <w:rsid w:val="00A31CB4"/>
    <w:rPr>
      <w:lang w:val="fi-FI"/>
    </w:rPr>
  </w:style>
  <w:style w:type="character" w:customStyle="1" w:styleId="Heading9Char">
    <w:name w:val="Heading 9 Char"/>
    <w:basedOn w:val="DefaultParagraphFont"/>
    <w:link w:val="Heading9"/>
    <w:rsid w:val="00A31CB4"/>
    <w:rPr>
      <w:lang w:val="fi-FI"/>
    </w:rPr>
  </w:style>
  <w:style w:type="paragraph" w:customStyle="1" w:styleId="quotes">
    <w:name w:val="quotes"/>
    <w:basedOn w:val="Normal"/>
    <w:next w:val="Normal"/>
    <w:rsid w:val="00A31CB4"/>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6366">
      <w:bodyDiv w:val="1"/>
      <w:marLeft w:val="0"/>
      <w:marRight w:val="0"/>
      <w:marTop w:val="0"/>
      <w:marBottom w:val="0"/>
      <w:divBdr>
        <w:top w:val="none" w:sz="0" w:space="0" w:color="auto"/>
        <w:left w:val="none" w:sz="0" w:space="0" w:color="auto"/>
        <w:bottom w:val="none" w:sz="0" w:space="0" w:color="auto"/>
        <w:right w:val="none" w:sz="0" w:space="0" w:color="auto"/>
      </w:divBdr>
    </w:div>
    <w:div w:id="725101770">
      <w:bodyDiv w:val="1"/>
      <w:marLeft w:val="0"/>
      <w:marRight w:val="0"/>
      <w:marTop w:val="0"/>
      <w:marBottom w:val="0"/>
      <w:divBdr>
        <w:top w:val="none" w:sz="0" w:space="0" w:color="auto"/>
        <w:left w:val="none" w:sz="0" w:space="0" w:color="auto"/>
        <w:bottom w:val="none" w:sz="0" w:space="0" w:color="auto"/>
        <w:right w:val="none" w:sz="0" w:space="0" w:color="auto"/>
      </w:divBdr>
    </w:div>
    <w:div w:id="737484501">
      <w:bodyDiv w:val="1"/>
      <w:marLeft w:val="0"/>
      <w:marRight w:val="0"/>
      <w:marTop w:val="0"/>
      <w:marBottom w:val="0"/>
      <w:divBdr>
        <w:top w:val="none" w:sz="0" w:space="0" w:color="auto"/>
        <w:left w:val="none" w:sz="0" w:space="0" w:color="auto"/>
        <w:bottom w:val="none" w:sz="0" w:space="0" w:color="auto"/>
        <w:right w:val="none" w:sz="0" w:space="0" w:color="auto"/>
      </w:divBdr>
    </w:div>
    <w:div w:id="757168760">
      <w:bodyDiv w:val="1"/>
      <w:marLeft w:val="0"/>
      <w:marRight w:val="0"/>
      <w:marTop w:val="0"/>
      <w:marBottom w:val="0"/>
      <w:divBdr>
        <w:top w:val="none" w:sz="0" w:space="0" w:color="auto"/>
        <w:left w:val="none" w:sz="0" w:space="0" w:color="auto"/>
        <w:bottom w:val="none" w:sz="0" w:space="0" w:color="auto"/>
        <w:right w:val="none" w:sz="0" w:space="0" w:color="auto"/>
      </w:divBdr>
    </w:div>
    <w:div w:id="966155248">
      <w:bodyDiv w:val="1"/>
      <w:marLeft w:val="0"/>
      <w:marRight w:val="0"/>
      <w:marTop w:val="0"/>
      <w:marBottom w:val="0"/>
      <w:divBdr>
        <w:top w:val="none" w:sz="0" w:space="0" w:color="auto"/>
        <w:left w:val="none" w:sz="0" w:space="0" w:color="auto"/>
        <w:bottom w:val="none" w:sz="0" w:space="0" w:color="auto"/>
        <w:right w:val="none" w:sz="0" w:space="0" w:color="auto"/>
      </w:divBdr>
    </w:div>
    <w:div w:id="977221858">
      <w:bodyDiv w:val="1"/>
      <w:marLeft w:val="0"/>
      <w:marRight w:val="0"/>
      <w:marTop w:val="0"/>
      <w:marBottom w:val="0"/>
      <w:divBdr>
        <w:top w:val="none" w:sz="0" w:space="0" w:color="auto"/>
        <w:left w:val="none" w:sz="0" w:space="0" w:color="auto"/>
        <w:bottom w:val="none" w:sz="0" w:space="0" w:color="auto"/>
        <w:right w:val="none" w:sz="0" w:space="0" w:color="auto"/>
      </w:divBdr>
    </w:div>
    <w:div w:id="1207140338">
      <w:bodyDiv w:val="1"/>
      <w:marLeft w:val="0"/>
      <w:marRight w:val="0"/>
      <w:marTop w:val="0"/>
      <w:marBottom w:val="0"/>
      <w:divBdr>
        <w:top w:val="none" w:sz="0" w:space="0" w:color="auto"/>
        <w:left w:val="none" w:sz="0" w:space="0" w:color="auto"/>
        <w:bottom w:val="none" w:sz="0" w:space="0" w:color="auto"/>
        <w:right w:val="none" w:sz="0" w:space="0" w:color="auto"/>
      </w:divBdr>
    </w:div>
    <w:div w:id="1289623022">
      <w:bodyDiv w:val="1"/>
      <w:marLeft w:val="0"/>
      <w:marRight w:val="0"/>
      <w:marTop w:val="0"/>
      <w:marBottom w:val="0"/>
      <w:divBdr>
        <w:top w:val="none" w:sz="0" w:space="0" w:color="auto"/>
        <w:left w:val="none" w:sz="0" w:space="0" w:color="auto"/>
        <w:bottom w:val="none" w:sz="0" w:space="0" w:color="auto"/>
        <w:right w:val="none" w:sz="0" w:space="0" w:color="auto"/>
      </w:divBdr>
    </w:div>
    <w:div w:id="1420254963">
      <w:bodyDiv w:val="1"/>
      <w:marLeft w:val="0"/>
      <w:marRight w:val="0"/>
      <w:marTop w:val="0"/>
      <w:marBottom w:val="0"/>
      <w:divBdr>
        <w:top w:val="none" w:sz="0" w:space="0" w:color="auto"/>
        <w:left w:val="none" w:sz="0" w:space="0" w:color="auto"/>
        <w:bottom w:val="none" w:sz="0" w:space="0" w:color="auto"/>
        <w:right w:val="none" w:sz="0" w:space="0" w:color="auto"/>
      </w:divBdr>
    </w:div>
    <w:div w:id="1757707581">
      <w:bodyDiv w:val="1"/>
      <w:marLeft w:val="0"/>
      <w:marRight w:val="0"/>
      <w:marTop w:val="0"/>
      <w:marBottom w:val="0"/>
      <w:divBdr>
        <w:top w:val="none" w:sz="0" w:space="0" w:color="auto"/>
        <w:left w:val="none" w:sz="0" w:space="0" w:color="auto"/>
        <w:bottom w:val="none" w:sz="0" w:space="0" w:color="auto"/>
        <w:right w:val="none" w:sz="0" w:space="0" w:color="auto"/>
      </w:divBdr>
    </w:div>
    <w:div w:id="1924946861">
      <w:bodyDiv w:val="1"/>
      <w:marLeft w:val="0"/>
      <w:marRight w:val="0"/>
      <w:marTop w:val="0"/>
      <w:marBottom w:val="0"/>
      <w:divBdr>
        <w:top w:val="none" w:sz="0" w:space="0" w:color="auto"/>
        <w:left w:val="none" w:sz="0" w:space="0" w:color="auto"/>
        <w:bottom w:val="none" w:sz="0" w:space="0" w:color="auto"/>
        <w:right w:val="none" w:sz="0" w:space="0" w:color="auto"/>
      </w:divBdr>
    </w:div>
    <w:div w:id="2066681319">
      <w:bodyDiv w:val="1"/>
      <w:marLeft w:val="0"/>
      <w:marRight w:val="0"/>
      <w:marTop w:val="0"/>
      <w:marBottom w:val="0"/>
      <w:divBdr>
        <w:top w:val="none" w:sz="0" w:space="0" w:color="auto"/>
        <w:left w:val="none" w:sz="0" w:space="0" w:color="auto"/>
        <w:bottom w:val="none" w:sz="0" w:space="0" w:color="auto"/>
        <w:right w:val="none" w:sz="0" w:space="0" w:color="auto"/>
      </w:divBdr>
    </w:div>
    <w:div w:id="21182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26" Type="http://schemas.openxmlformats.org/officeDocument/2006/relationships/customXml" Target="../customXml/item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5" Type="http://schemas.microsoft.com/office/2016/09/relationships/commentsIds" Target="commentsIds.xml"/><Relationship Id="rId16"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15" Type="http://schemas.openxmlformats.org/officeDocument/2006/relationships/hyperlink" Target="https://s3platform.jrc.ec.europa.eu/social-economy" TargetMode="External"/><Relationship Id="rId28" Type="http://schemas.openxmlformats.org/officeDocument/2006/relationships/customXml" Target="../customXml/item3.xml"/><Relationship Id="rId10" Type="http://schemas.openxmlformats.org/officeDocument/2006/relationships/footnotes" Target="footnotes.xml"/><Relationship Id="rId9" Type="http://schemas.openxmlformats.org/officeDocument/2006/relationships/webSettings" Target="webSettings.xml"/><Relationship Id="rId14" Type="http://schemas.openxmlformats.org/officeDocument/2006/relationships/hyperlink" Target="https://www.europeanjobdays.eu/en" TargetMode="Externa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xUriServ/LexUriServ.do?uri=OJ:C:2012:102:0006:0010:FI:PDF" TargetMode="External"/><Relationship Id="rId1" Type="http://schemas.openxmlformats.org/officeDocument/2006/relationships/hyperlink" Target="https://ec.europa.eu/commission/sites/beta-political/files/reflection-paper-social-dimension-europe_fi.pdf"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3T5AXJEHYTWU-1246943346-5719</_dlc_DocId>
    <_dlc_DocIdUrl xmlns="0b452354-65a4-4dd6-8824-e6b830247e3e">
      <Url>http://dm2016/cor/2020/_layouts/15/DocIdRedir.aspx?ID=3T5AXJEHYTWU-1246943346-5719</Url>
      <Description>3T5AXJEHYTWU-1246943346-5719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2020-11-24T12:00:00+00:00</ProductionDate>
    <FicheYear xmlns="0b452354-65a4-4dd6-8824-e6b830247e3e">2020</FicheYear>
    <DocumentNumber xmlns="4bbe3f12-7728-4332-8165-6531ead52725">4835</DocumentNumber>
    <DocumentVersion xmlns="0b452354-65a4-4dd6-8824-e6b830247e3e">1</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12567</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28C8AEDE-837D-4FD6-B717-8FB85FB49FF8}"/>
</file>

<file path=customXml/itemProps2.xml><?xml version="1.0" encoding="utf-8"?>
<ds:datastoreItem xmlns:ds="http://schemas.openxmlformats.org/officeDocument/2006/customXml" ds:itemID="{F60029D7-520A-4F84-9B02-702B55D3E498}"/>
</file>

<file path=customXml/itemProps3.xml><?xml version="1.0" encoding="utf-8"?>
<ds:datastoreItem xmlns:ds="http://schemas.openxmlformats.org/officeDocument/2006/customXml" ds:itemID="{95E472E9-FECF-445C-BF53-159304E739EE}"/>
</file>

<file path=customXml/itemProps4.xml><?xml version="1.0" encoding="utf-8"?>
<ds:datastoreItem xmlns:ds="http://schemas.openxmlformats.org/officeDocument/2006/customXml" ds:itemID="{BDFA3D67-2076-48FA-9DA6-DA11B3A0CCE7}"/>
</file>

<file path=docProps/app.xml><?xml version="1.0" encoding="utf-8"?>
<Properties xmlns="http://schemas.openxmlformats.org/officeDocument/2006/extended-properties" xmlns:vt="http://schemas.openxmlformats.org/officeDocument/2006/docPropsVTypes">
  <Template>Styles.dotm</Template>
  <TotalTime>10</TotalTime>
  <Pages>8</Pages>
  <Words>2928</Words>
  <Characters>16693</Characters>
  <Application>Microsoft Office Word</Application>
  <DocSecurity>0</DocSecurity>
  <Lines>139</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EESC-ECOR</Company>
  <LinksUpToDate>false</LinksUpToDate>
  <CharactersWithSpaces>19582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AK:n ja työllisyys-, sosiaali- ja osallisuusasioiden pääosaston yhteinen asiakirja: tiiviimmän yhteistyön alat</dc:title>
  <dc:subject>Lausuntotyö, muut</dc:subject>
  <dc:creator>Thomas Wobben</dc:creator>
  <cp:keywords>COR-2020-04835-00-01-TCD-TRA-EN</cp:keywords>
  <dc:description>Rapporteur:  - Original language: EN - Date of document: 24/11/2020 - Date of meeting: 25/11/2020 - External documents:  - Administrator:  PETRAS Georgios</dc:description>
  <cp:lastModifiedBy>Juha Eskelinen</cp:lastModifiedBy>
  <cp:revision>6</cp:revision>
  <cp:lastPrinted>2020-10-07T12:59:00Z</cp:lastPrinted>
  <dcterms:created xsi:type="dcterms:W3CDTF">2020-11-17T16:19:00Z</dcterms:created>
  <dcterms:modified xsi:type="dcterms:W3CDTF">2020-11-24T08:52:00Z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17/11/2020, 17/11/2020, 03/11/2020</vt:lpwstr>
  </property>
  <property fmtid="{D5CDD505-2E9C-101B-9397-08002B2CF9AE}" pid="4" name="Pref_Time">
    <vt:lpwstr>17:11:11, 17:01:01, 11:51:23</vt:lpwstr>
  </property>
  <property fmtid="{D5CDD505-2E9C-101B-9397-08002B2CF9AE}" pid="5" name="Pref_User">
    <vt:lpwstr>enied, ssex, amett</vt:lpwstr>
  </property>
  <property fmtid="{D5CDD505-2E9C-101B-9397-08002B2CF9AE}" pid="6" name="Pref_FileName">
    <vt:lpwstr>COR-2020-04835-00-01-TCD-TRA-EN-CRR.docx, COR-2020-04835-00-01-TCD-CRR-EN.docx, COR-2020-04835-00-00-TCD-TRA-EN-CRR.docx</vt:lpwstr>
  </property>
  <property fmtid="{D5CDD505-2E9C-101B-9397-08002B2CF9AE}" pid="7" name="ContentTypeId">
    <vt:lpwstr>0x010100EA97B91038054C99906057A708A1480A00165174FC8F090445A2AE79FCF6D9A29A</vt:lpwstr>
  </property>
  <property fmtid="{D5CDD505-2E9C-101B-9397-08002B2CF9AE}" pid="8" name="_dlc_DocIdItemGuid">
    <vt:lpwstr>ec1336eb-86da-4327-97e0-1e5061d6cc51</vt:lpwstr>
  </property>
  <property fmtid="{D5CDD505-2E9C-101B-9397-08002B2CF9AE}" pid="9" name="AvailableTranslations">
    <vt:lpwstr>31;#LV|46f7e311-5d9f-4663-b433-18aeccb7ace7;#4;#FR|d2afafd3-4c81-4f60-8f52-ee33f2f54ff3;#16;#ES|e7a6b05b-ae16-40c8-add9-68b64b03aeba;#36;#FI|87606a43-d45f-42d6-b8c9-e1a3457db5b7;#34;#CS|72f9705b-0217-4fd3-bea2-cbc7ed80e26e;#19;#LT|a7ff5ce7-6123-4f68-865a-a57c31810414;#35;#PT|50ccc04a-eadd-42ae-a0cb-acaf45f812ba;#13;#HR|2f555653-ed1a-4fe6-8362-9082d95989e5;#12;#EL|6d4f4d51-af9b-4650-94b4-4276bee85c91;#38;#RO|feb747a2-64cd-4299-af12-4833ddc30497;#14;#MT|7df99101-6854-4a26-b53a-b88c0da02c26;#18;#NL|55c6556c-b4f4-441d-9acf-c498d4f838bd;#23;#DE|f6b31e5a-26fa-4935-b661-318e46daf27e;#30;#DA|5d49c027-8956-412b-aa16-e85a0f96ad0e;#27;#HU|6b229040-c589-4408-b4c1-4285663d20a8;#26;#SL|98a412ae-eb01-49e9-ae3d-585a81724cfc;#17;#PL|1e03da61-4678-4e07-b136-b5024ca9197b;#37;#BG|1a1b3951-7821-4e6a-85f5-5673fc08bd2c;#29;#SV|c2ed69e7-a339-43d7-8f22-d93680a92aa0;#25;#ET|ff6c3f4c-b02c-4c3c-ab07-2c37995a7a0a;#11;#IT|0774613c-01ed-4e5d-a25d-11d2388de825;#15;#SK|46d9fce0-ef79-4f71-b89b-cd6aa82426b8;#7;#EN|f2175f21-25d7-44a3-96da-d6a61b075e1b</vt:lpwstr>
  </property>
  <property fmtid="{D5CDD505-2E9C-101B-9397-08002B2CF9AE}" pid="10" name="DocumentType_0">
    <vt:lpwstr>TCD|cd9d6eb6-3f4f-424a-b2d1-57c9d450eaaf</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4835</vt:i4>
  </property>
  <property fmtid="{D5CDD505-2E9C-101B-9397-08002B2CF9AE}" pid="15" name="FicheYear">
    <vt:i4>2020</vt:i4>
  </property>
  <property fmtid="{D5CDD505-2E9C-101B-9397-08002B2CF9AE}" pid="16" name="DocumentVersion">
    <vt:i4>1</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22;#TCD|cd9d6eb6-3f4f-424a-b2d1-57c9d450eaaf</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LV|46f7e311-5d9f-4663-b433-18aeccb7ace7;FR|d2afafd3-4c81-4f60-8f52-ee33f2f54ff3;CS|72f9705b-0217-4fd3-bea2-cbc7ed80e26e;LT|a7ff5ce7-6123-4f68-865a-a57c31810414;PT|50ccc04a-eadd-42ae-a0cb-acaf45f812ba;HR|2f555653-ed1a-4fe6-8362-9082d95989e5;RO|feb747a2-64cd-4299-af12-4833ddc30497;MT|7df99101-6854-4a26-b53a-b88c0da02c26;DE|f6b31e5a-26fa-4935-b661-318e46daf27e;DA|5d49c027-8956-412b-aa16-e85a0f96ad0e;SL|98a412ae-eb01-49e9-ae3d-585a81724cfc;PL|1e03da61-4678-4e07-b136-b5024ca9197b;BG|1a1b3951-7821-4e6a-85f5-5673fc08bd2c;SV|c2ed69e7-a339-43d7-8f22-d93680a92aa0;ET|ff6c3f4c-b02c-4c3c-ab07-2c37995a7a0a;IT|0774613c-01ed-4e5d-a25d-11d2388de825;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35;#PT|50ccc04a-eadd-42ae-a0cb-acaf45f812ba;#34;#CS|72f9705b-0217-4fd3-bea2-cbc7ed80e26e;#31;#LV|46f7e311-5d9f-4663-b433-18aeccb7ace7;#30;#DA|5d49c027-8956-412b-aa16-e85a0f96ad0e;#29;#SV|c2ed69e7-a339-43d7-8f22-d93680a92aa0;#26;#SL|98a412ae-eb01-49e9-ae3d-585a81724cfc;#25;#ET|ff6c3f4c-b02c-4c3c-ab07-2c37995a7a0a;#38;#RO|feb747a2-64cd-4299-af12-4833ddc30497;#23;#DE|f6b31e5a-26fa-4935-b661-318e46daf27e;#22;#TCD|cd9d6eb6-3f4f-424a-b2d1-57c9d450eaaf;#19;#LT|a7ff5ce7-6123-4f68-865a-a57c31810414;#17;#PL|1e03da61-4678-4e07-b136-b5024ca9197b;#14;#MT|7df99101-6854-4a26-b53a-b88c0da02c26;#50;#SEDEC-VII|2234d809-5ab4-4b5b-84d4-8dd3531523c3;#13;#HR|2f555653-ed1a-4fe6-8362-9082d95989e5;#11;#IT|0774613c-01ed-4e5d-a25d-11d2388de825;#8;#TRA|150d2a88-1431-44e6-a8ca-0bb753ab8672;#7;#EN|f2175f21-25d7-44a3-96da-d6a61b075e1b;#6;#Final|ea5e6674-7b27-4bac-b091-73adbb394efe;#5;#Unrestricted|826e22d7-d029-4ec0-a450-0c28ff673572;#4;#FR|d2afafd3-4c81-4f60-8f52-ee33f2f54ff3;#1;#CoR|cb2d75ef-4a7d-4393-b797-49ed6298a5ea;#37;#BG|1a1b3951-7821-4e6a-85f5-5673fc08bd2c</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12567</vt:i4>
  </property>
  <property fmtid="{D5CDD505-2E9C-101B-9397-08002B2CF9AE}" pid="38" name="DocumentLanguage">
    <vt:lpwstr>36;#FI|87606a43-d45f-42d6-b8c9-e1a3457db5b7</vt:lpwstr>
  </property>
</Properties>
</file>