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B5D" w:rsidRPr="003814FB" w:rsidRDefault="0023381A" w:rsidP="00151730">
      <w:pPr>
        <w:rPr>
          <w:b/>
          <w:sz w:val="36"/>
          <w:szCs w:val="36"/>
          <w:u w:val="single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7062ED57" wp14:editId="16948DED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202400" cy="925200"/>
            <wp:effectExtent l="0" t="0" r="0" b="8255"/>
            <wp:wrapNone/>
            <wp:docPr id="5" name="Picture 5" descr="LOGO-CE for Word EN Posit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CE for Word EN Positiv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400" cy="9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noProof/>
          <w:lang w:val="en-GB" w:eastAsia="en-GB"/>
        </w:rPr>
        <w:drawing>
          <wp:inline distT="0" distB="0" distL="0" distR="0" wp14:anchorId="1ACC1283" wp14:editId="1D76655F">
            <wp:extent cx="792736" cy="930604"/>
            <wp:effectExtent l="0" t="0" r="762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CoR-vertical-positive-en-quadri_HR letterhead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736" cy="930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87B5D" w:rsidRPr="003814FB" w:rsidRDefault="00C82EBC">
      <w:pPr>
        <w:jc w:val="center"/>
        <w:rPr>
          <w:b/>
          <w:sz w:val="36"/>
          <w:szCs w:val="36"/>
          <w:u w:val="single"/>
        </w:rPr>
      </w:pPr>
      <w:r>
        <w:rPr>
          <w:b/>
          <w:noProof/>
          <w:sz w:val="20"/>
          <w:szCs w:val="36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0A16B62C" wp14:editId="245779F2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2EBC" w:rsidRPr="00260E65" w:rsidRDefault="00C82EB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HR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16B62C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33pt;margin-top:793.8pt;width:51pt;height:31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l0EtQIAALk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" o:allowincell="f" filled="f" stroked="f">
                <v:textbox>
                  <w:txbxContent>
                    <w:p w:rsidR="00C82EBC" w:rsidRPr="00260E65" w:rsidRDefault="00C82EB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HR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2285A" w:rsidRPr="003814FB" w:rsidRDefault="00C34231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Područja na kojima je moguća pojačana suradnja između Europskog odbora regija (OR) i Glavne uprave Europske komisije za zapošljavanje i socijalna pitanja (GU EMPL)</w:t>
      </w:r>
    </w:p>
    <w:p w:rsidR="001C24E4" w:rsidRPr="003814FB" w:rsidRDefault="001C24E4">
      <w:pPr>
        <w:jc w:val="center"/>
        <w:rPr>
          <w:b/>
          <w:sz w:val="36"/>
          <w:szCs w:val="36"/>
          <w:u w:val="single"/>
          <w:lang w:val="en-GB"/>
        </w:rPr>
      </w:pPr>
    </w:p>
    <w:p w:rsidR="009521C5" w:rsidRPr="007D6282" w:rsidRDefault="009521C5" w:rsidP="007D6282">
      <w:pPr>
        <w:pStyle w:val="Heading1"/>
        <w:numPr>
          <w:ilvl w:val="0"/>
          <w:numId w:val="22"/>
        </w:numPr>
        <w:ind w:left="567" w:hanging="567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Uvod</w:t>
      </w:r>
    </w:p>
    <w:p w:rsidR="00014693" w:rsidRPr="007D6282" w:rsidRDefault="00014693">
      <w:pPr>
        <w:rPr>
          <w:sz w:val="24"/>
          <w:szCs w:val="24"/>
          <w:lang w:val="en-GB"/>
        </w:rPr>
      </w:pPr>
    </w:p>
    <w:p w:rsidR="00014E6A" w:rsidRPr="007D6282" w:rsidRDefault="00C82EBC">
      <w:pPr>
        <w:rPr>
          <w:color w:val="000000"/>
        </w:rPr>
      </w:pPr>
      <w:r>
        <w:t xml:space="preserve">Jasno je, i to ne samo od izbijanja krize uzrokovane COVID-om 19, da je „socijalna Europa” ključni element EU-ova doprinosa demokratskim, kohezivnim, kulturno raznolikim i prosperitetnim društvima. Ona podrazumijeva ekonomski i socijalni napredak te borbu protiv diskriminacije i socijalne isključenosti, čime Europljane čini spremnijima za sudjelovanje na tržištu rada i donosi im </w:t>
      </w:r>
      <w:proofErr w:type="spellStart"/>
      <w:r>
        <w:t>ispunjeniji</w:t>
      </w:r>
      <w:proofErr w:type="spellEnd"/>
      <w:r>
        <w:t xml:space="preserve"> život.</w:t>
      </w:r>
      <w:r w:rsidR="00014E6A" w:rsidRPr="007D6282">
        <w:rPr>
          <w:rStyle w:val="FootnoteReference"/>
          <w:lang w:val="en-GB"/>
        </w:rPr>
        <w:footnoteReference w:id="2"/>
      </w:r>
      <w:r>
        <w:t xml:space="preserve"> </w:t>
      </w:r>
    </w:p>
    <w:p w:rsidR="00014E6A" w:rsidRPr="007D6282" w:rsidRDefault="00014E6A">
      <w:pPr>
        <w:rPr>
          <w:color w:val="000000"/>
          <w:lang w:val="en-GB"/>
        </w:rPr>
      </w:pPr>
    </w:p>
    <w:p w:rsidR="00014E6A" w:rsidRPr="003814FB" w:rsidRDefault="00014E6A" w:rsidP="005D5EB3">
      <w:pPr>
        <w:jc w:val="both"/>
      </w:pPr>
      <w:r>
        <w:t xml:space="preserve">Iako su Europski odbor regija (OR) i Glavna uprava za zapošljavanje, socijalna pitanja i uključivanje (GU EMPL) i u prošlosti surađivali u nekoliko područja, očito je da izazovi koji predstoje i velik interes nadležnog povjerenika pružaju priliku za podizanje suradnje između Komisije i OR-a u ovom polju na novu razinu. </w:t>
      </w:r>
    </w:p>
    <w:p w:rsidR="00014E6A" w:rsidRPr="003814FB" w:rsidRDefault="00014E6A">
      <w:pPr>
        <w:rPr>
          <w:lang w:val="en-GB"/>
        </w:rPr>
      </w:pPr>
    </w:p>
    <w:p w:rsidR="00014E6A" w:rsidRPr="007D6282" w:rsidRDefault="00014E6A" w:rsidP="007D6282">
      <w:pPr>
        <w:pStyle w:val="ListParagraph"/>
        <w:numPr>
          <w:ilvl w:val="0"/>
          <w:numId w:val="26"/>
        </w:numPr>
        <w:ind w:left="360"/>
        <w:jc w:val="both"/>
      </w:pPr>
      <w:r>
        <w:rPr>
          <w:rFonts w:ascii="Times New Roman" w:hAnsi="Times New Roman"/>
        </w:rPr>
        <w:t xml:space="preserve">Povjerenik </w:t>
      </w:r>
      <w:proofErr w:type="spellStart"/>
      <w:r>
        <w:rPr>
          <w:rFonts w:ascii="Times New Roman" w:hAnsi="Times New Roman"/>
        </w:rPr>
        <w:t>Schmit</w:t>
      </w:r>
      <w:proofErr w:type="spellEnd"/>
      <w:r>
        <w:rPr>
          <w:rFonts w:ascii="Times New Roman" w:hAnsi="Times New Roman"/>
        </w:rPr>
        <w:t xml:space="preserve"> pokazao je izuzetan interes za OR s obzirom na to da je već, u manje od godinu dana, sudjelovao na dvije plenarne sjednice i na sastanku Povjerenstva za socijalnu politiku, obrazovanje, zapošljavanje, istraživanje i kulturu (SEDEC). </w:t>
      </w:r>
    </w:p>
    <w:p w:rsidR="00164C40" w:rsidRPr="007D6282" w:rsidRDefault="00164C40" w:rsidP="007D6282">
      <w:pPr>
        <w:pStyle w:val="ListParagraph"/>
        <w:numPr>
          <w:ilvl w:val="0"/>
          <w:numId w:val="26"/>
        </w:numPr>
        <w:ind w:left="360"/>
        <w:jc w:val="both"/>
      </w:pPr>
      <w:proofErr w:type="spellStart"/>
      <w:r>
        <w:rPr>
          <w:rFonts w:ascii="Times New Roman" w:hAnsi="Times New Roman"/>
        </w:rPr>
        <w:t>Joost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Korte</w:t>
      </w:r>
      <w:proofErr w:type="spellEnd"/>
      <w:r>
        <w:rPr>
          <w:rFonts w:ascii="Times New Roman" w:hAnsi="Times New Roman"/>
        </w:rPr>
        <w:t xml:space="preserve"> (glavni direktor GU-a EMPL) prisustvovao je sastanku SEDEC-a u veljači 2020., na kojem je održao govor u kojem je potaknuo članove i članice OR-a da pruže povratne informacije kako je zatraženo u Komunikaciji Komisije „Jaka socijalna Europa za pravednu tranziciju” (SEDEC već sastavlja mišljenja o tome).</w:t>
      </w:r>
    </w:p>
    <w:p w:rsidR="00164C40" w:rsidRPr="007D6282" w:rsidRDefault="00164C40" w:rsidP="007D6282">
      <w:pPr>
        <w:pStyle w:val="ListParagraph"/>
        <w:numPr>
          <w:ilvl w:val="0"/>
          <w:numId w:val="26"/>
        </w:numPr>
        <w:ind w:left="360"/>
        <w:jc w:val="both"/>
      </w:pPr>
      <w:r>
        <w:rPr>
          <w:rFonts w:ascii="Times New Roman" w:hAnsi="Times New Roman"/>
        </w:rPr>
        <w:t>I povjerenik i glavni direktor jasno su izjavili da očekuju da će se OR aktivno uključiti u pripremu socijalnog samita u Portu (svibanj 2021.) i akcijskog plana za provedbu europskog stupa socijalnih prava.</w:t>
      </w:r>
    </w:p>
    <w:p w:rsidR="006A6308" w:rsidRPr="007D6282" w:rsidRDefault="006A6308" w:rsidP="007D6282">
      <w:pPr>
        <w:pStyle w:val="ListParagraph"/>
        <w:numPr>
          <w:ilvl w:val="0"/>
          <w:numId w:val="26"/>
        </w:numPr>
        <w:ind w:left="360"/>
        <w:jc w:val="both"/>
      </w:pPr>
      <w:r>
        <w:rPr>
          <w:rFonts w:ascii="Times New Roman" w:hAnsi="Times New Roman"/>
        </w:rPr>
        <w:lastRenderedPageBreak/>
        <w:t>Duh međusobne suradnje dodatno je potaknut na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sastanku povjerenika i predsjednika OR-a (9. srpnja), na kojem je potvrđeno da bi obje institucije trebale pronaći više mogućnosti za suradnju.</w:t>
      </w:r>
    </w:p>
    <w:p w:rsidR="00864E4E" w:rsidRPr="003814FB" w:rsidRDefault="00864E4E" w:rsidP="005D5EB3">
      <w:pPr>
        <w:jc w:val="both"/>
      </w:pPr>
      <w:r>
        <w:t>U Protokolu o suradnji između Europske komisije i Odbora regija (2012/C 102/02)</w:t>
      </w:r>
      <w:r w:rsidRPr="007D6282">
        <w:rPr>
          <w:lang w:val="en-GB"/>
        </w:rPr>
        <w:footnoteReference w:id="3"/>
      </w:r>
      <w:r>
        <w:t xml:space="preserve"> Komisija i OR dogovorili su se da će intenzivirati svoju suradnju. U ovom zajedničkom memorandumu OR-a i GU-a EMPL utvrđuju se područja politike za pojačanu suradnju i glavni instrumenti.</w:t>
      </w:r>
    </w:p>
    <w:p w:rsidR="003D208F" w:rsidRPr="003814FB" w:rsidRDefault="003D208F">
      <w:pPr>
        <w:rPr>
          <w:lang w:val="en-GB"/>
        </w:rPr>
      </w:pPr>
    </w:p>
    <w:p w:rsidR="00EB524C" w:rsidRPr="007D6282" w:rsidRDefault="00EA2779" w:rsidP="007D6282">
      <w:pPr>
        <w:pStyle w:val="Heading1"/>
        <w:numPr>
          <w:ilvl w:val="0"/>
          <w:numId w:val="22"/>
        </w:numPr>
        <w:spacing w:before="0"/>
        <w:ind w:left="567" w:hanging="567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Ključne teme za bližu suradnju između OR-a i GU-a EMPL</w:t>
      </w:r>
    </w:p>
    <w:p w:rsidR="004D765D" w:rsidRPr="003814FB" w:rsidRDefault="004D765D" w:rsidP="007D6282">
      <w:pPr>
        <w:keepNext/>
        <w:rPr>
          <w:lang w:val="en-GB"/>
        </w:rPr>
      </w:pPr>
    </w:p>
    <w:p w:rsidR="00964812" w:rsidRPr="007D6282" w:rsidRDefault="008E118B">
      <w:r>
        <w:t>S obzirom na širok raspon tema povezanih sa socijalnom dimenzijom i uzimajući u obzir dostupne resurse, važno je intenziviranu suradnju koncentrirati na područja u kojima OR može pružiti jasnu dodanu vrijednost i u kojima je teritorijalna dimenzija najizraženija. Ne isključujući suradnju u drugim područjima, naročito u promicanju socijalne ekonomije, područja pojačane suradnje su sljedeća:</w:t>
      </w:r>
    </w:p>
    <w:p w:rsidR="003D208F" w:rsidRPr="007D6282" w:rsidRDefault="003D208F">
      <w:pPr>
        <w:rPr>
          <w:lang w:val="en-GB"/>
        </w:rPr>
      </w:pPr>
    </w:p>
    <w:p w:rsidR="00EA2779" w:rsidRPr="007D6282" w:rsidRDefault="00EA2779" w:rsidP="007D6282">
      <w:pPr>
        <w:pStyle w:val="Heading2"/>
        <w:rPr>
          <w:rFonts w:asciiTheme="majorHAnsi" w:hAnsiTheme="majorHAnsi"/>
          <w:color w:val="365F91" w:themeColor="accent1" w:themeShade="BF"/>
        </w:rPr>
      </w:pPr>
      <w:r>
        <w:rPr>
          <w:rFonts w:ascii="Times New Roman" w:hAnsi="Times New Roman"/>
          <w:b/>
          <w:sz w:val="24"/>
          <w:szCs w:val="24"/>
        </w:rPr>
        <w:t>2.1</w:t>
      </w:r>
      <w:r>
        <w:tab/>
      </w:r>
      <w:r>
        <w:rPr>
          <w:rFonts w:ascii="Times New Roman" w:hAnsi="Times New Roman"/>
          <w:b/>
          <w:sz w:val="24"/>
          <w:szCs w:val="32"/>
        </w:rPr>
        <w:t>Europski stup socijalnih prava</w:t>
      </w:r>
    </w:p>
    <w:p w:rsidR="00EA2779" w:rsidRPr="007D6282" w:rsidRDefault="00EA2779" w:rsidP="007D6282">
      <w:pPr>
        <w:rPr>
          <w:b/>
          <w:u w:val="single"/>
          <w:lang w:val="en-GB"/>
        </w:rPr>
      </w:pPr>
    </w:p>
    <w:p w:rsidR="005366D6" w:rsidRPr="007D6282" w:rsidRDefault="005366D6" w:rsidP="007D6282">
      <w:pPr>
        <w:rPr>
          <w:szCs w:val="24"/>
        </w:rPr>
      </w:pPr>
      <w:r>
        <w:t>Europski stup socijalnih prava sporazumni je dokument koji odražava ono za što se Unija zalaže u području zapošljavanja i socijalnih pitanja.</w:t>
      </w:r>
      <w:r>
        <w:rPr>
          <w:i/>
          <w:szCs w:val="24"/>
        </w:rPr>
        <w:t xml:space="preserve"> </w:t>
      </w:r>
      <w:r>
        <w:t>Proglašen je na najvišoj političkoj razini i već je doveo do dalekosežnih mjera na razini EU-a, kao i na nacionalnoj, regionalnoj i lokalnoj razini ojačavajući socijalnu dimenziju EU-a. Komisija je svojom Komunikacijom od 27. svibnja 2020. također stavila europski stup socijalnih prava u središte svog plana za pravedan i uključiv oporavak od krize uzrokovane COVID-om 19.</w:t>
      </w:r>
    </w:p>
    <w:p w:rsidR="005366D6" w:rsidRPr="007D6282" w:rsidRDefault="005366D6">
      <w:pPr>
        <w:rPr>
          <w:szCs w:val="24"/>
          <w:lang w:val="en-GB" w:eastAsia="fr-BE"/>
        </w:rPr>
      </w:pPr>
    </w:p>
    <w:p w:rsidR="005366D6" w:rsidRPr="007D6282" w:rsidRDefault="005366D6">
      <w:pPr>
        <w:rPr>
          <w:szCs w:val="24"/>
        </w:rPr>
      </w:pPr>
      <w:r>
        <w:t xml:space="preserve">U Strateškom programu za razdoblje od 2019. do 2024., koji je Europsko vijeće donijelo u lipnju 2019., poziva se na provedbu stupa socijalnih prava na razini EU-a i država članica, uzimajući u obzir odgovarajuće nadležnosti. </w:t>
      </w:r>
    </w:p>
    <w:p w:rsidR="003D208F" w:rsidRPr="007D6282" w:rsidRDefault="003D208F">
      <w:pPr>
        <w:rPr>
          <w:szCs w:val="24"/>
          <w:lang w:val="en-GB" w:eastAsia="en-GB"/>
        </w:rPr>
      </w:pPr>
    </w:p>
    <w:p w:rsidR="005366D6" w:rsidRPr="007D6282" w:rsidRDefault="005366D6">
      <w:pPr>
        <w:rPr>
          <w:szCs w:val="24"/>
        </w:rPr>
      </w:pPr>
      <w:r>
        <w:t xml:space="preserve">U političkim smjernicama predsjednice von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Leyen</w:t>
      </w:r>
      <w:proofErr w:type="spellEnd"/>
      <w:r>
        <w:t xml:space="preserve"> za Komisiju obvezuje se na iznošenje akcijskog plana za potpunu provedbu europskog stupa socijalnih prava. U Komunikaciji Komisije od 14. siječnja 2020. naslovljenoj „Jaka socijalna Europa za pravednu tranziciju” iznesen je niz ključnih aktivnosti za 2020. i 2021. te pokrenut širok postupak savjetovanja i angažmana radi doprinosa pripremama za akcijski plan. Potreba za socijalnom potporom i zaštitom još je akutnija tijekom tekuće </w:t>
      </w:r>
      <w:proofErr w:type="spellStart"/>
      <w:r>
        <w:t>pandemije</w:t>
      </w:r>
      <w:proofErr w:type="spellEnd"/>
      <w:r>
        <w:t xml:space="preserve"> COVID-a 19 jer su sustavi socijalne potpore država članica pod strašnim pritiskom, a socijalna struktura EU-a je pred slomom.</w:t>
      </w:r>
    </w:p>
    <w:p w:rsidR="005366D6" w:rsidRPr="007D6282" w:rsidRDefault="005366D6">
      <w:pPr>
        <w:rPr>
          <w:szCs w:val="24"/>
          <w:lang w:val="en-GB" w:eastAsia="en-GB"/>
        </w:rPr>
      </w:pPr>
    </w:p>
    <w:p w:rsidR="005366D6" w:rsidRPr="007D6282" w:rsidRDefault="005366D6">
      <w:pPr>
        <w:autoSpaceDE w:val="0"/>
        <w:autoSpaceDN w:val="0"/>
        <w:adjustRightInd w:val="0"/>
        <w:rPr>
          <w:szCs w:val="24"/>
        </w:rPr>
      </w:pPr>
      <w:r>
        <w:t xml:space="preserve">Cilj je Komisije donijeti akcijski plan početkom 2021. i nastojati da se odobri na najvišoj političkoj razini na socijalnom samitu koji će organizirati portugalsko predsjedništvo Vijeća u svibnju 2021. </w:t>
      </w:r>
    </w:p>
    <w:p w:rsidR="00CE0C02" w:rsidRPr="007D6282" w:rsidRDefault="00CE0C02">
      <w:pPr>
        <w:rPr>
          <w:bCs/>
          <w:u w:val="single"/>
          <w:lang w:val="en-GB"/>
        </w:rPr>
      </w:pPr>
    </w:p>
    <w:p w:rsidR="00EA2779" w:rsidRPr="007D6282" w:rsidRDefault="00B40809" w:rsidP="007D6282">
      <w:pPr>
        <w:rPr>
          <w:bCs/>
        </w:rPr>
      </w:pPr>
      <w:r>
        <w:t>Očito je da lokalne i regionalne vlasti imaju važnu ulogu u osmišljavanju i provedbi politike zapošljavanja i socijalne politike u EU-u. Ovisno o njihovoj gospodarskoj strukturi i izloženosti zdravstvenim rizicima, kriza uzrokovana COVID-om 19 na vrlo je različite načine utjecala na razne regije. Lokalne i regionalne vlasti mogu pomoći u osmišljavanju i provedbi odgovora na krizu kojim će se svladavati izazovi za socijalnu i teritorijalnu koheziju koji su postojali prije krize i nastavit će se nakon nje. Zbog toga je potrebno uključiti lokalne i regionalne vlasti, posebno kroz:</w:t>
      </w:r>
    </w:p>
    <w:p w:rsidR="00CB78E1" w:rsidRPr="007D6282" w:rsidRDefault="00CB78E1" w:rsidP="007D6282">
      <w:pPr>
        <w:rPr>
          <w:bCs/>
          <w:u w:val="single"/>
          <w:lang w:val="en-GB"/>
        </w:rPr>
      </w:pPr>
    </w:p>
    <w:p w:rsidR="00CB78E1" w:rsidRPr="007D6282" w:rsidRDefault="00F771E0" w:rsidP="007D6282">
      <w:pPr>
        <w:pStyle w:val="ListParagraph"/>
        <w:numPr>
          <w:ilvl w:val="0"/>
          <w:numId w:val="19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 xml:space="preserve">mišljenje OR-a „Jaka socijalna Europa za pravednu tranziciju” (izvjestiteljica: </w:t>
      </w:r>
      <w:proofErr w:type="spellStart"/>
      <w:r>
        <w:rPr>
          <w:rFonts w:ascii="Times New Roman" w:hAnsi="Times New Roman"/>
        </w:rPr>
        <w:t>Anne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Karjalainen</w:t>
      </w:r>
      <w:proofErr w:type="spellEnd"/>
      <w:r>
        <w:rPr>
          <w:rFonts w:ascii="Times New Roman" w:hAnsi="Times New Roman"/>
        </w:rPr>
        <w:t xml:space="preserve"> (FI/PES), usvojeno na plenarnom zasjedanju u listopadu 2020.), koje predstavlja opći odgovor OR-a na Komunikaciju Komisije;</w:t>
      </w:r>
    </w:p>
    <w:p w:rsidR="00421A56" w:rsidRPr="007D6282" w:rsidRDefault="00421A56" w:rsidP="007D6282">
      <w:pPr>
        <w:pStyle w:val="ListParagraph"/>
        <w:spacing w:after="0" w:line="288" w:lineRule="auto"/>
        <w:ind w:left="360"/>
        <w:jc w:val="both"/>
        <w:rPr>
          <w:bCs/>
        </w:rPr>
      </w:pPr>
    </w:p>
    <w:p w:rsidR="00176CAE" w:rsidRPr="007D6282" w:rsidRDefault="00176CAE" w:rsidP="007D6282">
      <w:pPr>
        <w:pStyle w:val="ListParagraph"/>
        <w:numPr>
          <w:ilvl w:val="0"/>
          <w:numId w:val="19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mišljenje OR-a „Budući plan za njegovatelje i usluge skrbi – lokalne i regionalne mogućnosti u kontekstu europskog izazova” (izvjestitelj još nije potvrđen);</w:t>
      </w:r>
    </w:p>
    <w:p w:rsidR="00E136C4" w:rsidRPr="007D6282" w:rsidRDefault="00E136C4" w:rsidP="007D6282">
      <w:pPr>
        <w:pStyle w:val="ListParagraph"/>
        <w:spacing w:after="0" w:line="288" w:lineRule="auto"/>
        <w:ind w:left="360"/>
        <w:jc w:val="both"/>
      </w:pPr>
    </w:p>
    <w:p w:rsidR="00F771E0" w:rsidRPr="007D6282" w:rsidRDefault="00421A56" w:rsidP="007D6282">
      <w:pPr>
        <w:pStyle w:val="ListParagraph"/>
        <w:numPr>
          <w:ilvl w:val="0"/>
          <w:numId w:val="19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raspravu u okviru Europskog tjedna regija i gradova</w:t>
      </w:r>
      <w:r>
        <w:rPr>
          <w:rFonts w:ascii="Times New Roman" w:hAnsi="Times New Roman"/>
          <w:color w:val="000000"/>
        </w:rPr>
        <w:t xml:space="preserve"> 2020. „Socijalna sigurnost radnika na platformama – izazovi i mogućnosti” u kojoj je sudjelovao GU EMPL;</w:t>
      </w:r>
    </w:p>
    <w:p w:rsidR="00267B85" w:rsidRPr="007D6282" w:rsidRDefault="00267B85" w:rsidP="007D6282">
      <w:pPr>
        <w:pStyle w:val="ListParagraph"/>
        <w:spacing w:after="0" w:line="288" w:lineRule="auto"/>
        <w:ind w:left="360"/>
        <w:jc w:val="both"/>
      </w:pPr>
    </w:p>
    <w:p w:rsidR="00512960" w:rsidRPr="007D6282" w:rsidRDefault="00F5129F" w:rsidP="007D6282">
      <w:pPr>
        <w:pStyle w:val="ListParagraph"/>
        <w:numPr>
          <w:ilvl w:val="0"/>
          <w:numId w:val="19"/>
        </w:numPr>
        <w:spacing w:after="0" w:line="288" w:lineRule="auto"/>
        <w:ind w:left="360"/>
        <w:jc w:val="both"/>
        <w:rPr>
          <w:b/>
          <w:u w:val="single"/>
        </w:rPr>
      </w:pPr>
      <w:r>
        <w:rPr>
          <w:rFonts w:ascii="Times New Roman" w:hAnsi="Times New Roman"/>
        </w:rPr>
        <w:t>zajedno s portugalskim predsjedništvom Vijeća, Komisija i OR istražit će načine na koje OR može sudjelovati na socijalnom samitu kako bi se odrazila teritorijalna dimenzija provedbe europskog stupa socijalnih prava.</w:t>
      </w:r>
    </w:p>
    <w:p w:rsidR="00151730" w:rsidRPr="007D6282" w:rsidRDefault="00151730" w:rsidP="007D6282">
      <w:pPr>
        <w:rPr>
          <w:lang w:val="en-GB"/>
        </w:rPr>
      </w:pPr>
    </w:p>
    <w:p w:rsidR="00EA2779" w:rsidRPr="007D6282" w:rsidRDefault="00EA2779" w:rsidP="007D6282">
      <w:pPr>
        <w:pStyle w:val="Heading2"/>
        <w:ind w:left="426" w:hanging="426"/>
        <w:jc w:val="both"/>
        <w:rPr>
          <w:rFonts w:asciiTheme="majorHAnsi" w:eastAsiaTheme="majorEastAsia" w:hAnsiTheme="majorHAnsi" w:cstheme="majorBidi"/>
          <w:b/>
          <w:color w:val="365F91" w:themeColor="accent1" w:themeShade="BF"/>
          <w:sz w:val="24"/>
          <w:szCs w:val="32"/>
        </w:rPr>
      </w:pPr>
      <w:r>
        <w:rPr>
          <w:rFonts w:ascii="Times New Roman" w:hAnsi="Times New Roman"/>
          <w:b/>
          <w:sz w:val="24"/>
          <w:szCs w:val="24"/>
        </w:rPr>
        <w:t>2.2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32"/>
        </w:rPr>
        <w:t>Priprema Europskog socijalnog fonda plus (ESF+) i inicijative REACT-EU kako bi se osigurala odgovarajuća sredstva za mjere za zapošljavanje mladih</w:t>
      </w:r>
    </w:p>
    <w:p w:rsidR="00527019" w:rsidRPr="007D6282" w:rsidRDefault="00527019">
      <w:pPr>
        <w:keepNext/>
        <w:rPr>
          <w:lang w:val="en-GB"/>
        </w:rPr>
      </w:pPr>
    </w:p>
    <w:p w:rsidR="00527019" w:rsidRPr="007D6282" w:rsidRDefault="00527019" w:rsidP="007D6282">
      <w:pPr>
        <w:rPr>
          <w:bCs/>
        </w:rPr>
      </w:pPr>
      <w:r>
        <w:t>Mnoge lokalne i regionalne vlasti trenutno su uvelike uključene u pripremu budućih programa ESF-a plus i razvijanje projekata koji će se financirati iz ESF-a plus. Komisija je predložila da se pomoću ESF-a plus pojača financiranje mjera za zapošljavanje mladih u državama članicama u kojima je udio mladih koji nisu zaposleni, ne školuju se i ne osposobljavaju viši od prosjeka EU-a.</w:t>
      </w:r>
      <w:r w:rsidR="006E25E8" w:rsidRPr="007D6282">
        <w:rPr>
          <w:rStyle w:val="FootnoteReference"/>
          <w:bCs/>
          <w:sz w:val="24"/>
          <w:szCs w:val="24"/>
          <w:lang w:val="en-GB"/>
        </w:rPr>
        <w:footnoteReference w:id="4"/>
      </w:r>
      <w:r>
        <w:t xml:space="preserve"> Štoviše, novom inicijativom REACT-EU mogu se podržati mjere za zapošljavanje mladih. Potreba za potpunim iskorištavanjem te dodatne potpore ključna je u svjetlu tekuće </w:t>
      </w:r>
      <w:proofErr w:type="spellStart"/>
      <w:r>
        <w:t>pandemije</w:t>
      </w:r>
      <w:proofErr w:type="spellEnd"/>
      <w:r>
        <w:t xml:space="preserve"> i utjecaja koji bi ona vjerojatno mogla imati na zapošljavanje mladih.</w:t>
      </w:r>
    </w:p>
    <w:p w:rsidR="00CB78E1" w:rsidRPr="007D6282" w:rsidRDefault="00CB78E1">
      <w:pPr>
        <w:rPr>
          <w:bCs/>
          <w:u w:val="single"/>
          <w:lang w:val="en-GB"/>
        </w:rPr>
      </w:pPr>
    </w:p>
    <w:p w:rsidR="00AE28C2" w:rsidRPr="007D6282" w:rsidRDefault="00F52BD7">
      <w:pPr>
        <w:rPr>
          <w:bCs/>
        </w:rPr>
      </w:pPr>
      <w:r>
        <w:t xml:space="preserve">OR bi mogao olakšati razmjenu informacija i najboljih praksi u pogledu financiranja iz inicijative REACT-EU i fonda ESF plus koje se pruža kao potpora mjerama zapošljavanja mladih. Ta financijska </w:t>
      </w:r>
      <w:r>
        <w:lastRenderedPageBreak/>
        <w:t>pomoć doprinijet će ukupnom cilju EU-a da za tu svrhu izdvoji najmanje 22 milijarde EUR</w:t>
      </w:r>
      <w:r w:rsidR="008911F1" w:rsidRPr="007D6282">
        <w:rPr>
          <w:rStyle w:val="FootnoteReference"/>
          <w:bCs/>
          <w:sz w:val="24"/>
          <w:szCs w:val="24"/>
          <w:lang w:val="en-GB"/>
        </w:rPr>
        <w:footnoteReference w:id="5"/>
      </w:r>
      <w:r>
        <w:t xml:space="preserve"> te će biti element financiranja ojačane Garancije za mlade</w:t>
      </w:r>
      <w:r w:rsidR="008911F1" w:rsidRPr="007D6282">
        <w:rPr>
          <w:rStyle w:val="FootnoteReference"/>
          <w:bCs/>
          <w:sz w:val="24"/>
          <w:szCs w:val="24"/>
          <w:lang w:val="en-GB"/>
        </w:rPr>
        <w:footnoteReference w:id="6"/>
      </w:r>
      <w:r>
        <w:t xml:space="preserve">. </w:t>
      </w:r>
    </w:p>
    <w:p w:rsidR="00AE28C2" w:rsidRPr="007D6282" w:rsidRDefault="00AE28C2">
      <w:pPr>
        <w:rPr>
          <w:bCs/>
          <w:u w:val="single"/>
          <w:lang w:val="en-GB"/>
        </w:rPr>
      </w:pPr>
    </w:p>
    <w:p w:rsidR="006106B7" w:rsidRPr="007D6282" w:rsidRDefault="002867F1">
      <w:pPr>
        <w:rPr>
          <w:bCs/>
        </w:rPr>
      </w:pPr>
      <w:r>
        <w:t xml:space="preserve">U duhu načela partnerstva, OR bi mogao promicati dijalog između lokalnih i regionalnih vlasti u razvoju koncepata za borbu protiv nezaposlenosti mladih u uskoj suradnji sa socijalnim partnerima i postati platforma za razmjenu ideja i politika među regijama i gradovima. </w:t>
      </w:r>
    </w:p>
    <w:p w:rsidR="006106B7" w:rsidRPr="007D6282" w:rsidRDefault="006106B7">
      <w:pPr>
        <w:rPr>
          <w:bCs/>
          <w:lang w:val="en-GB"/>
        </w:rPr>
      </w:pPr>
    </w:p>
    <w:p w:rsidR="00527019" w:rsidRPr="003814FB" w:rsidRDefault="006106B7">
      <w:r>
        <w:t xml:space="preserve">Time OR može poduzeti svrsishodne korake u vezi s </w:t>
      </w:r>
      <w:r>
        <w:rPr>
          <w:color w:val="000000"/>
        </w:rPr>
        <w:t xml:space="preserve">komunikacijom Komisije </w:t>
      </w:r>
      <w:r>
        <w:t>„Potpora za zapošljavanje mladih: lakši prelazak u svijet rada za novu generaciju”</w:t>
      </w:r>
      <w:r w:rsidR="00150CCB" w:rsidRPr="007D6282">
        <w:rPr>
          <w:rStyle w:val="FootnoteReference"/>
          <w:sz w:val="24"/>
          <w:szCs w:val="24"/>
          <w:lang w:val="en-GB"/>
        </w:rPr>
        <w:footnoteReference w:id="7"/>
      </w:r>
      <w:r>
        <w:t xml:space="preserve"> te se mogu održati daljnji sastanci GU-a EMPL i OR-a. </w:t>
      </w:r>
    </w:p>
    <w:p w:rsidR="00F165DD" w:rsidRPr="007D6282" w:rsidRDefault="00F165DD">
      <w:pPr>
        <w:rPr>
          <w:bCs/>
          <w:lang w:val="en-GB"/>
        </w:rPr>
      </w:pPr>
    </w:p>
    <w:p w:rsidR="00CB78E1" w:rsidRPr="007D6282" w:rsidRDefault="00CB78E1" w:rsidP="007D6282">
      <w:pPr>
        <w:pStyle w:val="Heading2"/>
        <w:ind w:left="567" w:hanging="567"/>
        <w:jc w:val="both"/>
        <w:rPr>
          <w:rFonts w:asciiTheme="majorHAnsi" w:eastAsiaTheme="majorEastAsia" w:hAnsiTheme="majorHAnsi" w:cstheme="majorBidi"/>
          <w:b/>
          <w:color w:val="365F91" w:themeColor="accent1" w:themeShade="BF"/>
          <w:sz w:val="24"/>
          <w:szCs w:val="32"/>
        </w:rPr>
      </w:pPr>
      <w:r>
        <w:rPr>
          <w:rFonts w:ascii="Times New Roman" w:hAnsi="Times New Roman"/>
          <w:b/>
          <w:sz w:val="24"/>
          <w:szCs w:val="24"/>
        </w:rPr>
        <w:t xml:space="preserve">2.3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32"/>
        </w:rPr>
        <w:t xml:space="preserve">Program vještina </w:t>
      </w:r>
    </w:p>
    <w:p w:rsidR="006106B7" w:rsidRPr="007D6282" w:rsidRDefault="006106B7" w:rsidP="007D6282">
      <w:pPr>
        <w:keepNext/>
        <w:rPr>
          <w:rFonts w:eastAsiaTheme="majorEastAsia"/>
          <w:lang w:val="en-GB"/>
        </w:rPr>
      </w:pPr>
    </w:p>
    <w:p w:rsidR="006106B7" w:rsidRPr="007D6282" w:rsidRDefault="00EE2DE9" w:rsidP="007D6282">
      <w:r>
        <w:t xml:space="preserve">Učinak </w:t>
      </w:r>
      <w:proofErr w:type="spellStart"/>
      <w:r>
        <w:t>pandemije</w:t>
      </w:r>
      <w:proofErr w:type="spellEnd"/>
      <w:r>
        <w:t xml:space="preserve"> na naš način rada i dvostruka tranzicija na digitalno i zeleno gospodarstvo uvelike mijenjaju paradigmu vještina u EU-u. Stoga je ključno promicati i povezivati lokalnu perspektivu o vještinama kako je navedeno u nedavno objavljenom „Programu vještina za Europu za održivu konkurentnost, socijalnu pravednost i otpornost”</w:t>
      </w:r>
      <w:r w:rsidR="002867F1" w:rsidRPr="007D6282">
        <w:rPr>
          <w:rStyle w:val="FootnoteReference"/>
          <w:bCs/>
          <w:sz w:val="24"/>
          <w:szCs w:val="24"/>
          <w:lang w:val="en-GB"/>
        </w:rPr>
        <w:footnoteReference w:id="8"/>
      </w:r>
      <w:r>
        <w:t>. Djelovanjem na lokalnoj razini može se maksimalno povećati sudjelovanje lokalnih partnera, poput MSP-ova, uz istovremeno bolje razumijevanje potreba lokalnog tržišta rada i istraživanje sinergija s drugim lokalnim i regionalnim strategijama. Nadalje, lokalna i regionalna perspektiva mogla bi pomoći u stvaranju kvalitativnih predviđanja i kvantitativnih predviđanja potreba za vještinama, što se zatim može razviti u model ili metodu predviđanja vještina koji se može koristiti za buduće planiranje ili oblikovanje politike.</w:t>
      </w:r>
    </w:p>
    <w:p w:rsidR="006106B7" w:rsidRPr="007D6282" w:rsidRDefault="006106B7">
      <w:pPr>
        <w:rPr>
          <w:bCs/>
          <w:lang w:val="en-GB"/>
        </w:rPr>
      </w:pPr>
    </w:p>
    <w:p w:rsidR="00421A56" w:rsidRPr="007D6282" w:rsidRDefault="00150CCB" w:rsidP="007D6282">
      <w:pPr>
        <w:rPr>
          <w:bCs/>
        </w:rPr>
      </w:pPr>
      <w:r>
        <w:t>Daljnja suradnja može se ostvariti kroz sljedeće radnje:</w:t>
      </w:r>
    </w:p>
    <w:p w:rsidR="000A7400" w:rsidRPr="007D6282" w:rsidRDefault="000A7400" w:rsidP="007D6282">
      <w:pPr>
        <w:pStyle w:val="ListParagraph"/>
        <w:spacing w:after="0" w:line="288" w:lineRule="auto"/>
        <w:ind w:left="360"/>
        <w:jc w:val="both"/>
        <w:rPr>
          <w:rStyle w:val="normaltextrun"/>
        </w:rPr>
      </w:pPr>
    </w:p>
    <w:p w:rsidR="000A7400" w:rsidRPr="007D6282" w:rsidRDefault="00151730" w:rsidP="007D6282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Style w:val="normaltextrun"/>
        </w:rPr>
      </w:pPr>
      <w:r>
        <w:rPr>
          <w:rStyle w:val="normaltextrun"/>
        </w:rPr>
        <w:t>zajedničko promicanje pakta za vještine kao načina na koji regije mogu izgraditi partnerstva s industrijom i pružateljima osposobljavanja u svrhu usavršavanja i prekvalifikacije lokalnog stanovništva;</w:t>
      </w:r>
    </w:p>
    <w:p w:rsidR="000A7400" w:rsidRPr="007D6282" w:rsidRDefault="000A7400" w:rsidP="007D6282">
      <w:pPr>
        <w:pStyle w:val="ListParagraph"/>
        <w:spacing w:after="0" w:line="288" w:lineRule="auto"/>
        <w:ind w:left="360"/>
        <w:jc w:val="both"/>
        <w:rPr>
          <w:rStyle w:val="normaltextrun"/>
        </w:rPr>
      </w:pPr>
    </w:p>
    <w:p w:rsidR="00421A56" w:rsidRPr="007D6282" w:rsidRDefault="000A7400" w:rsidP="007D6282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Style w:val="normaltextrun"/>
        </w:rPr>
      </w:pPr>
      <w:r>
        <w:rPr>
          <w:rStyle w:val="normaltextrun"/>
        </w:rPr>
        <w:lastRenderedPageBreak/>
        <w:t>konferencija na visokoj razini o naukovanjima u suorganizaciji s GU-om EMPL pod nazivom „Uloga regija i gradova u pružanju visokokvalitetnih naukovanja” zakazana za proljeće 2021. zbog COVID-a 19, uz dodatna internetska događanja planirana prije glavne konferencije:</w:t>
      </w:r>
    </w:p>
    <w:p w:rsidR="000A7400" w:rsidRPr="007D6282" w:rsidRDefault="000A7400">
      <w:pPr>
        <w:rPr>
          <w:rStyle w:val="normaltextrun"/>
          <w:lang w:val="en-GB"/>
        </w:rPr>
      </w:pPr>
    </w:p>
    <w:tbl>
      <w:tblPr>
        <w:tblW w:w="0" w:type="auto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3"/>
        <w:gridCol w:w="3817"/>
        <w:gridCol w:w="2069"/>
      </w:tblGrid>
      <w:tr w:rsidR="00B04466">
        <w:tc>
          <w:tcPr>
            <w:tcW w:w="2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Datum</w:t>
            </w:r>
          </w:p>
        </w:tc>
        <w:tc>
          <w:tcPr>
            <w:tcW w:w="3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pPr>
              <w:rPr>
                <w:rFonts w:ascii="Calibri" w:hAnsi="Calibri" w:cs="Calibri"/>
                <w:b/>
                <w:bCs/>
                <w:color w:val="FFFFFF"/>
              </w:rPr>
            </w:pPr>
            <w:proofErr w:type="spellStart"/>
            <w:r>
              <w:rPr>
                <w:b/>
                <w:bCs/>
                <w:color w:val="FFFFFF"/>
              </w:rPr>
              <w:t>Webinari</w:t>
            </w:r>
            <w:proofErr w:type="spellEnd"/>
            <w:r>
              <w:rPr>
                <w:b/>
                <w:bCs/>
                <w:color w:val="FFFFFF"/>
              </w:rPr>
              <w:t>/konferencija</w:t>
            </w:r>
          </w:p>
        </w:tc>
        <w:tc>
          <w:tcPr>
            <w:tcW w:w="2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Tema</w:t>
            </w:r>
          </w:p>
        </w:tc>
      </w:tr>
      <w:tr w:rsidR="00B04466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utorak, 29. rujna 2020.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prvi internetski seminar: „Utjecaj COVID-a 19 na naukovanja.</w:t>
            </w:r>
            <w:r>
              <w:rPr>
                <w:i/>
                <w:iCs/>
              </w:rPr>
              <w:t xml:space="preserve"> </w:t>
            </w:r>
            <w:r>
              <w:rPr>
                <w:iCs/>
              </w:rPr>
              <w:t>Uloga regija i gradova”.</w:t>
            </w:r>
            <w:r>
              <w:t xml:space="preserve"> 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usredotočenost na odgovor na COVID-19</w:t>
            </w:r>
          </w:p>
        </w:tc>
      </w:tr>
      <w:tr w:rsidR="00B04466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siječanj/veljača 2021.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drugi internetski seminar: „Dvostruka tranzicija: uloga gradova u pružanju prilika za visokokvalitetna naukovanja”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usredotočenost na dvostruku digitalnu i zelenu tranziciju</w:t>
            </w:r>
          </w:p>
        </w:tc>
      </w:tr>
      <w:tr w:rsidR="00B04466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ožujak/travanj 2021.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treći internetski seminar: „Dvostruka tranzicija: uloga regija u pružanju prilika za visokokvalitetna naukovanja”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 xml:space="preserve">usredotočenost na dvostruku digitalnu i zelenu tranziciju </w:t>
            </w:r>
          </w:p>
        </w:tc>
      </w:tr>
      <w:tr w:rsidR="00B04466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3. – 4. lipnja 2021. (još nije potvrđeno)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 xml:space="preserve">glavna konferencija 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još nije potvrđeno</w:t>
            </w:r>
          </w:p>
        </w:tc>
      </w:tr>
      <w:tr w:rsidR="00B04466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još nije potvrđeno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prateći (internetski) sastanci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još nije potvrđeno</w:t>
            </w:r>
          </w:p>
        </w:tc>
      </w:tr>
    </w:tbl>
    <w:p w:rsidR="002D435E" w:rsidRPr="007D6282" w:rsidRDefault="002D435E" w:rsidP="007D6282">
      <w:pPr>
        <w:pStyle w:val="ListParagraph"/>
        <w:spacing w:after="0" w:line="288" w:lineRule="auto"/>
        <w:ind w:left="360"/>
        <w:jc w:val="both"/>
        <w:rPr>
          <w:rStyle w:val="normaltextrun"/>
        </w:rPr>
      </w:pPr>
    </w:p>
    <w:p w:rsidR="002D435E" w:rsidRPr="007D6282" w:rsidRDefault="00151730" w:rsidP="007D6282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Fonts w:ascii="Times New Roman" w:hAnsi="Times New Roman" w:cs="Times New Roman"/>
        </w:rPr>
      </w:pPr>
      <w:r>
        <w:t xml:space="preserve">daljnja suradnja razvijat će se u okviru pripreme mišljenja o komunikaciji „Program vještina za Europu za održivu konkurentnost, socijalnu pravednost i otpornost” (izvjestitelj: </w:t>
      </w:r>
      <w:proofErr w:type="spellStart"/>
      <w:r>
        <w:t>Csaba</w:t>
      </w:r>
      <w:proofErr w:type="spellEnd"/>
      <w:r>
        <w:t xml:space="preserve"> </w:t>
      </w:r>
      <w:proofErr w:type="spellStart"/>
      <w:r>
        <w:t>Borboly</w:t>
      </w:r>
      <w:proofErr w:type="spellEnd"/>
      <w:r>
        <w:t>, RO/EPP);</w:t>
      </w:r>
      <w:r>
        <w:rPr>
          <w:rFonts w:ascii="Times New Roman" w:hAnsi="Times New Roman"/>
        </w:rPr>
        <w:t xml:space="preserve"> </w:t>
      </w:r>
    </w:p>
    <w:p w:rsidR="00F165DD" w:rsidRPr="007D6282" w:rsidRDefault="00F165DD" w:rsidP="007D6282">
      <w:pPr>
        <w:pStyle w:val="ListParagraph"/>
        <w:spacing w:after="0" w:line="288" w:lineRule="auto"/>
        <w:ind w:left="360"/>
        <w:jc w:val="both"/>
      </w:pPr>
    </w:p>
    <w:p w:rsidR="00176CAE" w:rsidRPr="007D6282" w:rsidRDefault="00151730" w:rsidP="007D6282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Fonts w:ascii="Times New Roman" w:hAnsi="Times New Roman" w:cs="Times New Roman"/>
        </w:rPr>
      </w:pPr>
      <w:r>
        <w:t>suradnja u pogledu Europskog saveza za naukovanje.</w:t>
      </w:r>
      <w:r>
        <w:rPr>
          <w:rFonts w:ascii="Times New Roman" w:hAnsi="Times New Roman"/>
        </w:rPr>
        <w:t xml:space="preserve"> OR i Europski savez za naukovanje mogli bi također raditi na jednom od prioriteta obnovljenog Europskog saveza za naukovanje, odnosno na „mobilizaciji lokalnih i regionalnih tijela za pospješivanje naukovanja u lokalnom poslovnom okruženju”. Primjer je sudjelovanje nove mreže gradova za naukovanje u zajedničkim internetskim seminarima Europskog saveza za naukovanje i OR-a. Jedan od primarnih ciljeva te mreže bit će podizanje svijesti o potencijalu koji gradovi imaju za podržavanje naukovanja. Naposljetku, gradovi će kroz mrežu moći učiti jedni od drugih, surađivati, razvijati alate, dijeliti dobre prakse te pružati i primati tehničku pomoć i pomoć u okviru politika.   </w:t>
      </w:r>
    </w:p>
    <w:p w:rsidR="00C34231" w:rsidRPr="003814FB" w:rsidRDefault="00C34231">
      <w:pPr>
        <w:rPr>
          <w:rFonts w:eastAsiaTheme="majorEastAsia"/>
          <w:lang w:val="en-GB"/>
        </w:rPr>
      </w:pPr>
    </w:p>
    <w:p w:rsidR="003D64D4" w:rsidRPr="007D6282" w:rsidRDefault="00025C0A" w:rsidP="007D6282">
      <w:pPr>
        <w:pStyle w:val="Heading2"/>
        <w:ind w:left="567" w:hanging="567"/>
        <w:jc w:val="both"/>
        <w:rPr>
          <w:rFonts w:asciiTheme="majorHAnsi" w:eastAsiaTheme="majorEastAsia" w:hAnsiTheme="majorHAnsi" w:cstheme="majorBidi"/>
          <w:b/>
          <w:color w:val="365F91" w:themeColor="accent1" w:themeShade="BF"/>
          <w:sz w:val="24"/>
          <w:szCs w:val="32"/>
        </w:rPr>
      </w:pPr>
      <w:r>
        <w:rPr>
          <w:rFonts w:ascii="Times New Roman" w:hAnsi="Times New Roman"/>
          <w:b/>
          <w:sz w:val="24"/>
          <w:szCs w:val="24"/>
        </w:rPr>
        <w:t xml:space="preserve">2.4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32"/>
        </w:rPr>
        <w:t>Koncept „Europski lokalni sajmovi poslova” koji EU podržava s ciljem podupiranja lokalnog zapošljavanja</w:t>
      </w:r>
    </w:p>
    <w:p w:rsidR="00CE5349" w:rsidRPr="007D6282" w:rsidRDefault="00CE5349">
      <w:pPr>
        <w:keepNext/>
        <w:rPr>
          <w:lang w:val="en-GB"/>
        </w:rPr>
      </w:pPr>
    </w:p>
    <w:p w:rsidR="00CC2877" w:rsidRPr="003814FB" w:rsidRDefault="00394636" w:rsidP="007D6282">
      <w:r>
        <w:t xml:space="preserve">Kako bi se poboljšalo spajanje radnih mjesta i vještina, dogovoreno je da se razmotre mogućnosti </w:t>
      </w:r>
      <w:proofErr w:type="spellStart"/>
      <w:r>
        <w:t>suorganiziranja</w:t>
      </w:r>
      <w:proofErr w:type="spellEnd"/>
      <w:r>
        <w:t xml:space="preserve"> „Europskih lokalnih sajmova poslova” posvuda u Europi. Solun bi se mogao ponuditi da prvom prilikom bude domaćin takvog „Europskog lokalnog sajma poslova”. Takav bi događaj mogao postati model za slične događaje u drugim regijama EU-a. OR i GU EMPL surađivat će na konceptu i provedbi, uključujući organizaciju, partnere, financiranje itd., o kojima će se posebno dogovoriti. </w:t>
      </w:r>
    </w:p>
    <w:p w:rsidR="00FE1A83" w:rsidRPr="003814FB" w:rsidRDefault="00FE1A83" w:rsidP="007D6282">
      <w:pPr>
        <w:rPr>
          <w:lang w:val="en-GB"/>
        </w:rPr>
      </w:pPr>
    </w:p>
    <w:p w:rsidR="00DC5206" w:rsidRPr="007D6282" w:rsidRDefault="00455FAA" w:rsidP="007D6282">
      <w:pPr>
        <w:pStyle w:val="Heading3"/>
        <w:rPr>
          <w:rFonts w:asciiTheme="majorHAnsi" w:hAnsiTheme="majorHAnsi"/>
          <w:color w:val="365F91" w:themeColor="accent1" w:themeShade="BF"/>
        </w:rPr>
      </w:pPr>
      <w:r>
        <w:rPr>
          <w:rFonts w:ascii="Times New Roman" w:hAnsi="Times New Roman"/>
          <w:b/>
          <w:sz w:val="24"/>
          <w:szCs w:val="24"/>
        </w:rPr>
        <w:t>2.4.1</w:t>
      </w:r>
      <w:r>
        <w:rPr>
          <w:rFonts w:ascii="Times New Roman" w:hAnsi="Times New Roman"/>
          <w:b/>
          <w:sz w:val="24"/>
          <w:szCs w:val="24"/>
        </w:rPr>
        <w:tab/>
        <w:t>Što već postoji</w:t>
      </w:r>
    </w:p>
    <w:p w:rsidR="00CC2877" w:rsidRPr="003814FB" w:rsidRDefault="00CC2877">
      <w:pPr>
        <w:keepNext/>
        <w:rPr>
          <w:lang w:val="en-GB"/>
        </w:rPr>
      </w:pPr>
    </w:p>
    <w:p w:rsidR="00CC2877" w:rsidRPr="007D6282" w:rsidRDefault="00DF7306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Europska mreža službi za zapošljavanje (EURES) već organizira „Europske dane poslova” u svrhu promicanja mobilnosti radne snage diljem EU-a i spajanja vještina kandidata s potrebama poslodavaca u drugim državama članicama (replikacija takvih događanja za mobilnost ne bi donijela dodanu vrijednost);</w:t>
      </w:r>
    </w:p>
    <w:p w:rsidR="00CC2877" w:rsidRPr="007D6282" w:rsidRDefault="00CC2877" w:rsidP="007D6282">
      <w:pPr>
        <w:pStyle w:val="ListParagraph"/>
        <w:spacing w:after="0" w:line="288" w:lineRule="auto"/>
        <w:ind w:left="360"/>
        <w:jc w:val="both"/>
      </w:pPr>
    </w:p>
    <w:p w:rsidR="00CC2877" w:rsidRPr="007D6282" w:rsidRDefault="00501E02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nekoliko projekata EU-a ima za cilj borbu protiv nezaposlenosti; nadalje, postoje i nacionalni programi s istim ciljem;</w:t>
      </w:r>
    </w:p>
    <w:p w:rsidR="00CC2877" w:rsidRPr="007D6282" w:rsidRDefault="00CC2877" w:rsidP="007D6282">
      <w:pPr>
        <w:pStyle w:val="ListParagraph"/>
        <w:spacing w:after="0" w:line="288" w:lineRule="auto"/>
        <w:ind w:left="360"/>
        <w:jc w:val="both"/>
      </w:pPr>
    </w:p>
    <w:p w:rsidR="00CC2877" w:rsidRPr="007D6282" w:rsidRDefault="002867F1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ESF je trenutno, a ESF+ će postati glavni instrument za financiranje lokalnih strategija zapošljavanja i promicanje osposobljavanja, usavršavanja i prekvalifikacije;</w:t>
      </w:r>
    </w:p>
    <w:p w:rsidR="00CC2877" w:rsidRPr="007D6282" w:rsidRDefault="00CC2877" w:rsidP="007D6282">
      <w:pPr>
        <w:pStyle w:val="ListParagraph"/>
        <w:spacing w:after="0" w:line="288" w:lineRule="auto"/>
        <w:ind w:left="360"/>
        <w:jc w:val="both"/>
      </w:pPr>
    </w:p>
    <w:p w:rsidR="00CC2877" w:rsidRPr="007D6282" w:rsidRDefault="00DF7306">
      <w:pPr>
        <w:numPr>
          <w:ilvl w:val="0"/>
          <w:numId w:val="35"/>
        </w:numPr>
        <w:rPr>
          <w:rFonts w:eastAsia="Times New Roman"/>
          <w:sz w:val="24"/>
          <w:szCs w:val="24"/>
        </w:rPr>
      </w:pPr>
      <w:r>
        <w:t xml:space="preserve">program za zapošljavanje i socijalne inovacije (2014. – 2020.) ima tri osi (Napredak za modernizaciju zapošljavanja i socijalnih usluga, EURES za mobilnost radne snage i os </w:t>
      </w:r>
      <w:proofErr w:type="spellStart"/>
      <w:r>
        <w:t>Mikrofinanciranje</w:t>
      </w:r>
      <w:proofErr w:type="spellEnd"/>
      <w:r>
        <w:t xml:space="preserve"> i socijalno poduzetništvo koja </w:t>
      </w:r>
      <w:proofErr w:type="spellStart"/>
      <w:r>
        <w:t>mikrozajmove</w:t>
      </w:r>
      <w:proofErr w:type="spellEnd"/>
      <w:r>
        <w:t xml:space="preserve"> i </w:t>
      </w:r>
      <w:proofErr w:type="spellStart"/>
      <w:r>
        <w:t>mikrokredite</w:t>
      </w:r>
      <w:proofErr w:type="spellEnd"/>
      <w:r>
        <w:t xml:space="preserve"> pruža ranjivim skupinama i poduzećima te podržava socijalno poduzetništvo). </w:t>
      </w:r>
      <w:proofErr w:type="spellStart"/>
      <w:r>
        <w:t>InvestEU</w:t>
      </w:r>
      <w:proofErr w:type="spellEnd"/>
      <w:r>
        <w:t xml:space="preserve"> će pružati slične mogućnosti od 2021.</w:t>
      </w:r>
    </w:p>
    <w:p w:rsidR="00FE1A83" w:rsidRPr="007D6282" w:rsidRDefault="00FE1A83" w:rsidP="007D6282">
      <w:pPr>
        <w:rPr>
          <w:lang w:val="en-GB"/>
        </w:rPr>
      </w:pPr>
    </w:p>
    <w:p w:rsidR="00CC2877" w:rsidRPr="007D6282" w:rsidRDefault="00455FAA" w:rsidP="007D6282">
      <w:pPr>
        <w:pStyle w:val="Heading3"/>
        <w:rPr>
          <w:rFonts w:asciiTheme="majorHAnsi" w:eastAsiaTheme="majorEastAsia" w:hAnsiTheme="majorHAnsi" w:cstheme="majorBidi"/>
          <w:b/>
          <w:color w:val="365F91" w:themeColor="accent1" w:themeShade="BF"/>
          <w:sz w:val="24"/>
          <w:szCs w:val="32"/>
        </w:rPr>
      </w:pPr>
      <w:r>
        <w:rPr>
          <w:rFonts w:ascii="Times New Roman" w:hAnsi="Times New Roman"/>
          <w:b/>
          <w:sz w:val="24"/>
          <w:szCs w:val="24"/>
        </w:rPr>
        <w:t>2.4.2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32"/>
        </w:rPr>
        <w:t>Dodana vrijednost „Europskih lokalnih sajmova poslova”</w:t>
      </w:r>
    </w:p>
    <w:p w:rsidR="00CC2877" w:rsidRPr="007D6282" w:rsidRDefault="00CC2877" w:rsidP="007D6282">
      <w:pPr>
        <w:keepNext/>
        <w:rPr>
          <w:lang w:val="en-GB"/>
        </w:rPr>
      </w:pPr>
    </w:p>
    <w:p w:rsidR="00CC2877" w:rsidRPr="007D6282" w:rsidRDefault="00CC2877" w:rsidP="007D6282">
      <w:pPr>
        <w:pStyle w:val="ListParagraph"/>
        <w:spacing w:after="0" w:line="288" w:lineRule="auto"/>
        <w:ind w:left="0"/>
        <w:jc w:val="both"/>
      </w:pPr>
      <w:r>
        <w:rPr>
          <w:rFonts w:ascii="Times New Roman" w:hAnsi="Times New Roman"/>
        </w:rPr>
        <w:t>S obzirom na već postojeće inicijative EU-a i druge inicijative, posebna dodana vrijednost „Europskog lokalnog sajma poslova” bila bi:</w:t>
      </w:r>
    </w:p>
    <w:p w:rsidR="00100433" w:rsidRPr="007D6282" w:rsidRDefault="00100433" w:rsidP="007D6282">
      <w:pPr>
        <w:pStyle w:val="ListParagraph"/>
        <w:spacing w:after="0" w:line="288" w:lineRule="auto"/>
        <w:ind w:left="0"/>
        <w:jc w:val="both"/>
      </w:pPr>
    </w:p>
    <w:p w:rsidR="00100433" w:rsidRPr="007D6282" w:rsidRDefault="00100433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prikazati postojeće usluge EU-a za tražitelje posla na lokalnoj, nacionalnoj i europskoj razini;</w:t>
      </w:r>
    </w:p>
    <w:p w:rsidR="0002399B" w:rsidRPr="007D6282" w:rsidRDefault="0002399B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predstaviti nove trendove u vještinama i zapošljavanju na lokalnoj i europskoj razini;</w:t>
      </w:r>
    </w:p>
    <w:p w:rsidR="00100433" w:rsidRPr="007D6282" w:rsidRDefault="00100433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predstaviti programe EU-a za potporu lokalnim i regionalnim strategijama zapošljavanja s obzirom na tekuće aktivnosti programiranja budućih programa ESF-a;</w:t>
      </w:r>
    </w:p>
    <w:p w:rsidR="00100433" w:rsidRPr="007D6282" w:rsidRDefault="00100433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 xml:space="preserve">pokazati veze između različitih politika i programa EU-a iz perspektive mladih; </w:t>
      </w:r>
    </w:p>
    <w:p w:rsidR="00C97045" w:rsidRPr="007D6282" w:rsidRDefault="00100433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pružiti osnovu za dijalog s građanima o socijalnoj dimenziji EU-a i što ona znači za lokalno i regionalno zapošljavanje; i</w:t>
      </w:r>
    </w:p>
    <w:p w:rsidR="00100433" w:rsidRPr="007D6282" w:rsidRDefault="00C97045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potpomognuti spajanje radnih mjesta i vještina na lokalnoj razini, uz financijsku podršku EU-a takvim lokalnim događajima.</w:t>
      </w:r>
    </w:p>
    <w:p w:rsidR="00FE1A83" w:rsidRPr="003814FB" w:rsidRDefault="00FE1A83">
      <w:pPr>
        <w:rPr>
          <w:lang w:val="en-GB"/>
        </w:rPr>
      </w:pPr>
    </w:p>
    <w:p w:rsidR="00F165DD" w:rsidRPr="003814FB" w:rsidRDefault="001A2D75">
      <w:r>
        <w:t xml:space="preserve">U ovom je trenutku važno organizirati takve sajmove kao dio napora za oporavak od </w:t>
      </w:r>
      <w:proofErr w:type="spellStart"/>
      <w:r>
        <w:t>pandemije</w:t>
      </w:r>
      <w:proofErr w:type="spellEnd"/>
      <w:r>
        <w:t xml:space="preserve"> COVID-a 19. Stoga je neophodno započeti dijalog o politikama s vodećim predstavnicima i predstavnicama socijalnih partnera, u kojem bi sudjelovali članovi i članice OR-a i predstavnici/predstavnice EU-a, a tema bi bili koncepti i strategije za rješavanje trenutnih izazova u pogledu zapošljavanja.</w:t>
      </w:r>
    </w:p>
    <w:p w:rsidR="00FE1A83" w:rsidRPr="003814FB" w:rsidRDefault="00FE1A83">
      <w:pPr>
        <w:rPr>
          <w:lang w:val="en-GB"/>
        </w:rPr>
      </w:pPr>
    </w:p>
    <w:p w:rsidR="00100433" w:rsidRPr="007D6282" w:rsidRDefault="00455FAA" w:rsidP="007D6282">
      <w:pPr>
        <w:pStyle w:val="Heading3"/>
        <w:ind w:left="709" w:hanging="709"/>
        <w:rPr>
          <w:rFonts w:asciiTheme="majorHAnsi" w:eastAsiaTheme="majorEastAsia" w:hAnsiTheme="majorHAnsi" w:cstheme="majorBidi"/>
          <w:b/>
          <w:color w:val="365F91" w:themeColor="accent1" w:themeShade="BF"/>
          <w:sz w:val="24"/>
          <w:szCs w:val="32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2.4.3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32"/>
        </w:rPr>
        <w:t>Ciljne skupine za „Europske lokalne sajmove poslova”</w:t>
      </w:r>
    </w:p>
    <w:p w:rsidR="0002399B" w:rsidRPr="007D6282" w:rsidRDefault="0002399B">
      <w:pPr>
        <w:keepNext/>
        <w:rPr>
          <w:lang w:val="en-GB"/>
        </w:rPr>
      </w:pPr>
    </w:p>
    <w:p w:rsidR="0002399B" w:rsidRPr="007D6282" w:rsidRDefault="0002399B" w:rsidP="007D6282">
      <w:r>
        <w:t>Ciljne skupine za „Europske lokalne sajmove poslova” mogu biti:</w:t>
      </w:r>
    </w:p>
    <w:p w:rsidR="0002399B" w:rsidRPr="007D6282" w:rsidRDefault="0002399B">
      <w:pPr>
        <w:rPr>
          <w:lang w:val="en-GB"/>
        </w:rPr>
      </w:pP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tražitelji posla, posebno studenti i studentice i osobe koje su nedavno diplomirale,</w:t>
      </w: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lokalne/regionalne javne službe za zapošljavanje,</w:t>
      </w: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agencije za osposobljavanje, prekvalifikaciju i zapošljavanje,</w:t>
      </w: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socijalni partneri, obrazovne ustanove,</w:t>
      </w: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lokalne/regionalne vlasti i političari/političarke te</w:t>
      </w: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lokalni/regionalni mediji.</w:t>
      </w:r>
    </w:p>
    <w:p w:rsidR="00FE1A83" w:rsidRPr="007D6282" w:rsidRDefault="00FE1A83" w:rsidP="007D6282">
      <w:pPr>
        <w:rPr>
          <w:lang w:val="en-GB"/>
        </w:rPr>
      </w:pPr>
    </w:p>
    <w:p w:rsidR="0002399B" w:rsidRPr="007D6282" w:rsidRDefault="00455FAA" w:rsidP="007D6282">
      <w:pPr>
        <w:pStyle w:val="Heading3"/>
        <w:tabs>
          <w:tab w:val="left" w:pos="567"/>
        </w:tabs>
        <w:rPr>
          <w:rFonts w:asciiTheme="majorHAnsi" w:hAnsiTheme="majorHAnsi"/>
          <w:color w:val="365F91" w:themeColor="accent1" w:themeShade="BF"/>
        </w:rPr>
      </w:pPr>
      <w:r>
        <w:rPr>
          <w:rFonts w:ascii="Times New Roman" w:hAnsi="Times New Roman"/>
          <w:b/>
          <w:sz w:val="24"/>
          <w:szCs w:val="24"/>
        </w:rPr>
        <w:t>2.4.4</w:t>
      </w:r>
      <w:r>
        <w:rPr>
          <w:rFonts w:ascii="Times New Roman" w:hAnsi="Times New Roman"/>
          <w:b/>
          <w:sz w:val="24"/>
          <w:szCs w:val="24"/>
        </w:rPr>
        <w:tab/>
        <w:t>Mogući partneri i provedba</w:t>
      </w:r>
    </w:p>
    <w:p w:rsidR="0002399B" w:rsidRPr="007D6282" w:rsidRDefault="0002399B" w:rsidP="007D6282">
      <w:pPr>
        <w:keepNext/>
        <w:rPr>
          <w:lang w:val="en-GB"/>
        </w:rPr>
      </w:pPr>
    </w:p>
    <w:p w:rsidR="0002399B" w:rsidRPr="007D6282" w:rsidRDefault="00E0617C">
      <w:r>
        <w:t>„Europski lokalni sajmovi poslova” bit će najuspješniji ako pravi partneri budu od početka uključeni kako bi se osigurao značajan doprinos. Mogli bi se uključiti sljedeći partneri:</w:t>
      </w:r>
    </w:p>
    <w:p w:rsidR="0002399B" w:rsidRPr="007D6282" w:rsidRDefault="0002399B">
      <w:pPr>
        <w:rPr>
          <w:lang w:val="en-GB"/>
        </w:rPr>
      </w:pPr>
    </w:p>
    <w:p w:rsidR="0002399B" w:rsidRPr="007D6282" w:rsidRDefault="00E0617C" w:rsidP="007D6282">
      <w:pPr>
        <w:pStyle w:val="ListParagraph"/>
        <w:numPr>
          <w:ilvl w:val="0"/>
          <w:numId w:val="40"/>
        </w:numPr>
        <w:spacing w:after="0" w:line="288" w:lineRule="auto"/>
        <w:jc w:val="both"/>
      </w:pPr>
      <w:r>
        <w:rPr>
          <w:rFonts w:ascii="Times New Roman" w:hAnsi="Times New Roman"/>
          <w:u w:val="single"/>
        </w:rPr>
        <w:t>na lokalnoj razini</w:t>
      </w:r>
      <w:r>
        <w:rPr>
          <w:rFonts w:ascii="Times New Roman" w:hAnsi="Times New Roman"/>
        </w:rPr>
        <w:t>: javna tijela, gospodarske komore i poslovna udruženja, sindikati, civilno društvo, škole, sveučilišta itd.</w:t>
      </w:r>
    </w:p>
    <w:p w:rsidR="0002399B" w:rsidRPr="007D6282" w:rsidRDefault="00E0617C" w:rsidP="007D6282">
      <w:pPr>
        <w:pStyle w:val="ListParagraph"/>
        <w:numPr>
          <w:ilvl w:val="0"/>
          <w:numId w:val="40"/>
        </w:numPr>
        <w:spacing w:after="0" w:line="288" w:lineRule="auto"/>
        <w:jc w:val="both"/>
      </w:pPr>
      <w:r>
        <w:rPr>
          <w:rFonts w:ascii="Times New Roman" w:hAnsi="Times New Roman"/>
          <w:u w:val="single"/>
        </w:rPr>
        <w:t>na regionalnoj razini</w:t>
      </w:r>
      <w:r>
        <w:rPr>
          <w:rFonts w:ascii="Times New Roman" w:hAnsi="Times New Roman"/>
        </w:rPr>
        <w:t>: upravljačko tijelo ESF-a, zavodi za zapošljavanje, regionalna ministarstva, regionalna poslovna udruženja, sveučilišta itd.</w:t>
      </w:r>
    </w:p>
    <w:p w:rsidR="0002399B" w:rsidRPr="007D6282" w:rsidRDefault="00E0617C" w:rsidP="007D6282">
      <w:pPr>
        <w:pStyle w:val="ListParagraph"/>
        <w:numPr>
          <w:ilvl w:val="0"/>
          <w:numId w:val="40"/>
        </w:numPr>
        <w:spacing w:after="0" w:line="288" w:lineRule="auto"/>
        <w:jc w:val="both"/>
      </w:pPr>
      <w:r>
        <w:rPr>
          <w:rFonts w:ascii="Times New Roman" w:hAnsi="Times New Roman"/>
          <w:u w:val="single"/>
        </w:rPr>
        <w:t>na nacionalnoj razini</w:t>
      </w:r>
      <w:r>
        <w:rPr>
          <w:rFonts w:ascii="Times New Roman" w:hAnsi="Times New Roman"/>
        </w:rPr>
        <w:t>: državna ministarstva, udruge socijalnog sektora, poslovna udruženja, udruge za osposobljavanje, udruge sveučilišta itd.</w:t>
      </w:r>
    </w:p>
    <w:p w:rsidR="00256F0C" w:rsidRPr="007D6282" w:rsidRDefault="00E0617C" w:rsidP="007D6282">
      <w:pPr>
        <w:pStyle w:val="ListParagraph"/>
        <w:numPr>
          <w:ilvl w:val="0"/>
          <w:numId w:val="40"/>
        </w:numPr>
        <w:spacing w:after="0" w:line="288" w:lineRule="auto"/>
        <w:jc w:val="both"/>
      </w:pPr>
      <w:r>
        <w:rPr>
          <w:rFonts w:ascii="Times New Roman" w:hAnsi="Times New Roman"/>
          <w:u w:val="single"/>
        </w:rPr>
        <w:t>na razini EU-a</w:t>
      </w:r>
      <w:r>
        <w:rPr>
          <w:rFonts w:ascii="Times New Roman" w:hAnsi="Times New Roman"/>
        </w:rPr>
        <w:t>: Europska komisija (na čelu s GU-om EMPL; druge glavne uprave i službe koje bi se mogle pozvati: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GU EAC, GU REGIO, GU REFORM, JRC), agencije EU-a (ELA, CEDEFOP, EUROFOUND); članovi i članice OR-a; zastupnici i zastupnice u Europskom parlamentu; socijalni partneri.</w:t>
      </w:r>
    </w:p>
    <w:p w:rsidR="00FE1A83" w:rsidRPr="003814FB" w:rsidRDefault="00FE1A83">
      <w:pPr>
        <w:rPr>
          <w:lang w:val="en-GB"/>
        </w:rPr>
      </w:pPr>
    </w:p>
    <w:p w:rsidR="00834904" w:rsidRPr="003814FB" w:rsidRDefault="00834904">
      <w:r>
        <w:t xml:space="preserve">Budući da tekuća </w:t>
      </w:r>
      <w:proofErr w:type="spellStart"/>
      <w:r>
        <w:t>pandemija</w:t>
      </w:r>
      <w:proofErr w:type="spellEnd"/>
      <w:r>
        <w:t xml:space="preserve"> COVID-a 19 zasada onemogućuje organizaciju sajmova na terenu, moglo bi se razmotriti organiziranje događanja kao što su </w:t>
      </w:r>
      <w:hyperlink r:id="rId14" w:history="1">
        <w:r>
          <w:t>„Europski internetski dani poslova”</w:t>
        </w:r>
      </w:hyperlink>
      <w:r>
        <w:t>, u dogovoru s odgovarajućim nacionalnim koordinacijskim uredom EURES-a i uz njegovo sudjelovanje.</w:t>
      </w:r>
    </w:p>
    <w:p w:rsidR="003E0FE7" w:rsidRPr="003814FB" w:rsidRDefault="003E0FE7">
      <w:pPr>
        <w:rPr>
          <w:lang w:val="en-GB"/>
        </w:rPr>
      </w:pPr>
    </w:p>
    <w:p w:rsidR="00E6624D" w:rsidRPr="003814FB" w:rsidRDefault="00E6624D">
      <w:r>
        <w:t>Uloge i odgovornosti organizatora i partnera bit će definirane posebnim sporazumima.</w:t>
      </w:r>
    </w:p>
    <w:p w:rsidR="00F165DD" w:rsidRPr="007D6282" w:rsidRDefault="00F165DD">
      <w:pPr>
        <w:rPr>
          <w:sz w:val="24"/>
          <w:lang w:val="en-GB"/>
        </w:rPr>
      </w:pPr>
    </w:p>
    <w:p w:rsidR="001A2D75" w:rsidRPr="007D6282" w:rsidRDefault="001A2D75" w:rsidP="007D6282">
      <w:pPr>
        <w:pStyle w:val="ListParagraph"/>
        <w:keepNext/>
        <w:numPr>
          <w:ilvl w:val="2"/>
          <w:numId w:val="22"/>
        </w:numPr>
        <w:spacing w:after="0" w:line="288" w:lineRule="auto"/>
        <w:rPr>
          <w:b/>
          <w:sz w:val="24"/>
        </w:rPr>
      </w:pPr>
      <w:r>
        <w:rPr>
          <w:rFonts w:ascii="Times New Roman" w:hAnsi="Times New Roman"/>
          <w:b/>
          <w:sz w:val="24"/>
        </w:rPr>
        <w:t>Financiranje i drugi oblici podrške</w:t>
      </w:r>
    </w:p>
    <w:p w:rsidR="001A2D75" w:rsidRPr="003814FB" w:rsidRDefault="001A2D75" w:rsidP="007D6282">
      <w:pPr>
        <w:keepNext/>
        <w:rPr>
          <w:lang w:val="en-GB"/>
        </w:rPr>
      </w:pPr>
    </w:p>
    <w:p w:rsidR="006C7232" w:rsidRPr="007D6282" w:rsidRDefault="001A2D75">
      <w:r>
        <w:t>„Europski lokalni sajmovi poslova”, čiji su domaćini članovi/članice OR-a, mogli bi se podupirati sredstvima EU-a. Odbor regija i GU EMPL zajedno će istražiti odgovarajuće opcije za financijsku potporu tim događanjima.</w:t>
      </w:r>
    </w:p>
    <w:p w:rsidR="001A2D75" w:rsidRPr="007D6282" w:rsidRDefault="001A2D75">
      <w:pPr>
        <w:rPr>
          <w:lang w:val="en-GB"/>
        </w:rPr>
      </w:pPr>
    </w:p>
    <w:p w:rsidR="001A2D75" w:rsidRPr="007D6282" w:rsidRDefault="008D4711">
      <w:r>
        <w:t>Drugi oblici podrške mogli bi uključivati:</w:t>
      </w:r>
    </w:p>
    <w:p w:rsidR="001A2D75" w:rsidRPr="007D6282" w:rsidRDefault="001A2D75">
      <w:pPr>
        <w:rPr>
          <w:lang w:val="en-GB"/>
        </w:rPr>
      </w:pPr>
    </w:p>
    <w:p w:rsidR="001A2D75" w:rsidRPr="007D6282" w:rsidRDefault="001A2D75" w:rsidP="007D6282">
      <w:pPr>
        <w:pStyle w:val="ListParagraph"/>
        <w:numPr>
          <w:ilvl w:val="0"/>
          <w:numId w:val="41"/>
        </w:numPr>
        <w:spacing w:after="0" w:line="288" w:lineRule="auto"/>
        <w:jc w:val="both"/>
      </w:pPr>
      <w:r>
        <w:rPr>
          <w:rFonts w:ascii="Times New Roman" w:hAnsi="Times New Roman"/>
        </w:rPr>
        <w:t>obvezu partnera EU-a da aktivno sudjeluju u sajmovima (slanjem stručnjaka/stručnjakinja i izaslanika/izaslanica);</w:t>
      </w:r>
    </w:p>
    <w:p w:rsidR="001A2D75" w:rsidRPr="007D6282" w:rsidRDefault="001A2D75" w:rsidP="007D6282">
      <w:pPr>
        <w:pStyle w:val="ListParagraph"/>
        <w:numPr>
          <w:ilvl w:val="0"/>
          <w:numId w:val="41"/>
        </w:numPr>
        <w:spacing w:after="0" w:line="288" w:lineRule="auto"/>
        <w:jc w:val="both"/>
      </w:pPr>
      <w:r>
        <w:rPr>
          <w:rFonts w:ascii="Times New Roman" w:hAnsi="Times New Roman"/>
        </w:rPr>
        <w:t>obvezu partnera EU-a da pripreme odgovarajuće informativne materijale za događaj;</w:t>
      </w:r>
    </w:p>
    <w:p w:rsidR="001A2D75" w:rsidRPr="007D6282" w:rsidRDefault="001A2D75" w:rsidP="007D6282">
      <w:pPr>
        <w:pStyle w:val="ListParagraph"/>
        <w:numPr>
          <w:ilvl w:val="0"/>
          <w:numId w:val="41"/>
        </w:numPr>
        <w:spacing w:after="0" w:line="288" w:lineRule="auto"/>
        <w:jc w:val="both"/>
      </w:pPr>
      <w:r>
        <w:rPr>
          <w:rFonts w:ascii="Times New Roman" w:hAnsi="Times New Roman"/>
        </w:rPr>
        <w:t>obvezu sudjelovanja na visokoj razini, kad god je to moguće: prisustvo povjerenika/povjerenice ili višeg rukovoditelja/rukovoditeljice GU-a EMPL na sajmu.</w:t>
      </w:r>
    </w:p>
    <w:p w:rsidR="007A1EBE" w:rsidRPr="007D6282" w:rsidRDefault="007A1EBE" w:rsidP="007D6282">
      <w:pPr>
        <w:rPr>
          <w:lang w:val="en-GB"/>
        </w:rPr>
      </w:pPr>
    </w:p>
    <w:p w:rsidR="00E01D16" w:rsidRPr="007D6282" w:rsidRDefault="008C4469" w:rsidP="007D6282">
      <w:pPr>
        <w:pStyle w:val="Heading1"/>
        <w:spacing w:before="0"/>
        <w:ind w:left="567" w:hanging="567"/>
        <w:rPr>
          <w:b/>
          <w:sz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 xml:space="preserve">3. </w:t>
      </w:r>
      <w:r>
        <w:rPr>
          <w:rFonts w:ascii="Times New Roman" w:hAnsi="Times New Roman"/>
          <w:b/>
          <w:color w:val="auto"/>
          <w:sz w:val="24"/>
          <w:szCs w:val="24"/>
        </w:rPr>
        <w:tab/>
      </w:r>
      <w:r>
        <w:rPr>
          <w:rFonts w:ascii="Times New Roman" w:hAnsi="Times New Roman"/>
          <w:b/>
          <w:color w:val="auto"/>
          <w:sz w:val="24"/>
        </w:rPr>
        <w:t>Druga područja politike i mogućnosti suradnje</w:t>
      </w:r>
    </w:p>
    <w:p w:rsidR="00E01D16" w:rsidRPr="007D6282" w:rsidRDefault="00E01D16">
      <w:pPr>
        <w:rPr>
          <w:rFonts w:eastAsiaTheme="majorEastAsia"/>
          <w:lang w:val="en-GB"/>
        </w:rPr>
      </w:pPr>
    </w:p>
    <w:p w:rsidR="00E01D16" w:rsidRPr="007D6282" w:rsidRDefault="00E01D16" w:rsidP="007D6282">
      <w:pPr>
        <w:spacing w:after="0"/>
        <w:rPr>
          <w:bCs/>
        </w:rPr>
      </w:pPr>
      <w:r>
        <w:t xml:space="preserve">Trenutno GU EMPL ima u planu nekoliko drugih inicijativa, kao što su: </w:t>
      </w:r>
    </w:p>
    <w:p w:rsidR="007A1EBE" w:rsidRPr="007D6282" w:rsidRDefault="007A1EBE" w:rsidP="007D6282">
      <w:pPr>
        <w:spacing w:after="0"/>
        <w:rPr>
          <w:bCs/>
          <w:lang w:val="en-GB"/>
        </w:rPr>
      </w:pPr>
    </w:p>
    <w:p w:rsidR="00457987" w:rsidRPr="007D6282" w:rsidRDefault="007A1EBE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akcijski plan za socijalnu ekonomiju, koji se očekuje u 2021. U okviru suradnje mogle bi se istražiti aktivnosti u području socijalne uključenosti, stvaranja radnih mjesta, sektora skrbi (skrb o djeci rane dobi i skrb za starije osobe), drugih socijalnih usluga, kao i socijalnih inovacija u socijalnoj ekonomiji na regionalnoj i međuregionalnoj razini;</w:t>
      </w:r>
    </w:p>
    <w:p w:rsidR="00E01D16" w:rsidRPr="007D6282" w:rsidRDefault="007A1EBE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primjerene minimalne plaće u Europskoj uniji, u vezi s čime je Komisija 28. listopada 2020. predložila direktivu;</w:t>
      </w:r>
    </w:p>
    <w:p w:rsidR="00E01D16" w:rsidRPr="007D6282" w:rsidRDefault="007A1EBE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radni uvjeti sezonskih radnika, o čemu je Komisija izdala smjernice u 2020.;</w:t>
      </w:r>
    </w:p>
    <w:p w:rsidR="00E01D16" w:rsidRPr="007D6282" w:rsidRDefault="007A1EBE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aspekti demografskih promjena koji spadaju u nadležnost GU-a EMPL.</w:t>
      </w:r>
    </w:p>
    <w:p w:rsidR="007A1EBE" w:rsidRPr="007D6282" w:rsidRDefault="007A1EBE">
      <w:pPr>
        <w:rPr>
          <w:lang w:val="en-GB"/>
        </w:rPr>
      </w:pPr>
    </w:p>
    <w:p w:rsidR="00E01D16" w:rsidRPr="007D6282" w:rsidRDefault="00E01D16">
      <w:r>
        <w:t>OR će nastojati pojačati savjetovanje s lokalnim i regionalnim vlastima kako bi doprinio tim ključnim područjima rada. Štoviše, OR i GU EMPL nastojat će intenzivirati razmjene o tim temama.</w:t>
      </w:r>
    </w:p>
    <w:p w:rsidR="00E01D16" w:rsidRPr="007D6282" w:rsidRDefault="00E01D16">
      <w:pPr>
        <w:rPr>
          <w:lang w:val="en-GB"/>
        </w:rPr>
      </w:pPr>
    </w:p>
    <w:p w:rsidR="003E36A3" w:rsidRPr="007D6282" w:rsidRDefault="003E36A3">
      <w:r>
        <w:t>Za postizanje pojačane suradnje između OR-a i GU-a EMPL mogu se predvidjeti sljedeće dodatne mjere:</w:t>
      </w:r>
    </w:p>
    <w:p w:rsidR="005B2DC3" w:rsidRPr="007D6282" w:rsidRDefault="005B2DC3">
      <w:pPr>
        <w:rPr>
          <w:lang w:val="en-GB"/>
        </w:rPr>
      </w:pPr>
    </w:p>
    <w:p w:rsidR="003E36A3" w:rsidRPr="007D6282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</w:pPr>
      <w:r>
        <w:rPr>
          <w:rFonts w:ascii="Times New Roman" w:hAnsi="Times New Roman"/>
        </w:rPr>
        <w:t>redoviti politički dijalog – na plenarnim zasjedanjima OR-a i sastancima povjerenstva SEDEC;</w:t>
      </w:r>
    </w:p>
    <w:p w:rsidR="003E36A3" w:rsidRPr="007D6282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</w:pPr>
      <w:r>
        <w:rPr>
          <w:rFonts w:ascii="Times New Roman" w:hAnsi="Times New Roman"/>
        </w:rPr>
        <w:t>razmatranje mogućnosti sudjelovanja članova/članica i izvjestitelja/izvjestiteljica OR-a na konferencijama i događanjima koje organizira GU EMPL na kojima lokalna i regionalna perspektiva donosi dodanu vrijednost;</w:t>
      </w:r>
    </w:p>
    <w:p w:rsidR="003E36A3" w:rsidRPr="007D6282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</w:pPr>
      <w:r>
        <w:rPr>
          <w:rFonts w:ascii="Times New Roman" w:hAnsi="Times New Roman"/>
        </w:rPr>
        <w:t>na zahtjev, obavještavanje članova i članica OR-a o raspoloživim financijskim sredstvima EU-a i podršci u vidu politika kako bi se pokazalo na koji način EU može pomoći regijama i gradovima u zelenoj i digitalnoj tranziciji;</w:t>
      </w:r>
    </w:p>
    <w:p w:rsidR="002E7C63" w:rsidRPr="007D6282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</w:pPr>
      <w:r>
        <w:rPr>
          <w:rFonts w:ascii="Times New Roman" w:hAnsi="Times New Roman"/>
        </w:rPr>
        <w:t>istraživanje mogućnosti poduzimanja zajedničkih mjera u pogledu komunikacije, kad je to prikladno;</w:t>
      </w:r>
    </w:p>
    <w:p w:rsidR="006D7CA9" w:rsidRPr="007D6282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</w:pPr>
      <w:r>
        <w:rPr>
          <w:rFonts w:ascii="Times New Roman" w:hAnsi="Times New Roman"/>
        </w:rPr>
        <w:t xml:space="preserve">istraživanje sinergije s inicijativama drugih glavnih uprava, kao što je partnerstvo za socijalnu ekonomiju u okviru tematske platforme S3 za modernizaciju industrije </w:t>
      </w:r>
      <w:r>
        <w:t>(</w:t>
      </w:r>
      <w:hyperlink r:id="rId15" w:history="1">
        <w:r>
          <w:rPr>
            <w:rStyle w:val="Hyperlink"/>
            <w:rFonts w:ascii="Times New Roman" w:hAnsi="Times New Roman"/>
          </w:rPr>
          <w:t>https://s3platform.jrc.ec.europa.eu/social-economy</w:t>
        </w:r>
      </w:hyperlink>
      <w:r>
        <w:rPr>
          <w:rFonts w:ascii="Times New Roman" w:hAnsi="Times New Roman"/>
        </w:rPr>
        <w:t>).</w:t>
      </w:r>
    </w:p>
    <w:p w:rsidR="006D7CA9" w:rsidRPr="007D6282" w:rsidRDefault="006D7CA9">
      <w:pPr>
        <w:rPr>
          <w:lang w:val="en-GB"/>
        </w:rPr>
      </w:pPr>
    </w:p>
    <w:p w:rsidR="006D7CA9" w:rsidRPr="007D6282" w:rsidRDefault="0068468C" w:rsidP="007D6282">
      <w:pPr>
        <w:pStyle w:val="Heading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4.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ab/>
        <w:t>Sljedeći koraci</w:t>
      </w:r>
    </w:p>
    <w:p w:rsidR="006D7CA9" w:rsidRPr="007D6282" w:rsidRDefault="006D7CA9" w:rsidP="007D6282">
      <w:pPr>
        <w:keepNext/>
        <w:rPr>
          <w:lang w:val="en-GB"/>
        </w:rPr>
      </w:pPr>
    </w:p>
    <w:p w:rsidR="000F448C" w:rsidRPr="003814FB" w:rsidRDefault="00DC0DF4" w:rsidP="007D6282">
      <w:pPr>
        <w:jc w:val="both"/>
      </w:pPr>
      <w:r>
        <w:t>I GU EMPL i OR imenovat će osobe za kontakt radi definiranja detalja koncepta i modaliteta organiziranja „Europskih lokalnih sajmova poslova” te kako bi se osigurala nesmetana suradnja i koordinacija djelovanja na administrativnoj razini.</w:t>
      </w:r>
    </w:p>
    <w:sectPr w:rsidR="000F448C" w:rsidRPr="003814FB" w:rsidSect="003831AE">
      <w:footerReference w:type="default" r:id="rId16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8C63B" w16cex:dateUtc="2020-08-20T07:51:00Z"/>
  <w16cex:commentExtensible w16cex:durableId="22E8C6C8" w16cex:dateUtc="2020-08-20T07:54:00Z"/>
  <w16cex:commentExtensible w16cex:durableId="22E8C78A" w16cex:dateUtc="2020-08-20T07:57:00Z"/>
  <w16cex:commentExtensible w16cex:durableId="22E8CDF2" w16cex:dateUtc="2020-08-20T08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6440FE8" w16cid:durableId="22E8C63B"/>
  <w16cid:commentId w16cid:paraId="7CC3FC94" w16cid:durableId="22E8C6C8"/>
  <w16cid:commentId w16cid:paraId="1E5534BC" w16cid:durableId="22ED245B"/>
  <w16cid:commentId w16cid:paraId="1847A8FA" w16cid:durableId="22E8C78A"/>
  <w16cid:commentId w16cid:paraId="69CE8917" w16cid:durableId="22E771BD"/>
  <w16cid:commentId w16cid:paraId="29D3282F" w16cid:durableId="22E8CD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784" w:rsidRDefault="00683784" w:rsidP="007E71D2">
      <w:pPr>
        <w:spacing w:line="240" w:lineRule="auto"/>
      </w:pPr>
      <w:r>
        <w:separator/>
      </w:r>
    </w:p>
  </w:endnote>
  <w:endnote w:type="continuationSeparator" w:id="0">
    <w:p w:rsidR="00683784" w:rsidRDefault="00683784" w:rsidP="007E71D2">
      <w:pPr>
        <w:spacing w:line="240" w:lineRule="auto"/>
      </w:pPr>
      <w:r>
        <w:continuationSeparator/>
      </w:r>
    </w:p>
  </w:endnote>
  <w:endnote w:type="continuationNotice" w:id="1">
    <w:p w:rsidR="00683784" w:rsidRDefault="0068378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40223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2F01" w:rsidRDefault="00EB2F01" w:rsidP="007D62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5035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784" w:rsidRDefault="00683784" w:rsidP="007E71D2">
      <w:pPr>
        <w:spacing w:line="240" w:lineRule="auto"/>
      </w:pPr>
      <w:r>
        <w:separator/>
      </w:r>
    </w:p>
  </w:footnote>
  <w:footnote w:type="continuationSeparator" w:id="0">
    <w:p w:rsidR="00683784" w:rsidRDefault="00683784" w:rsidP="007E71D2">
      <w:pPr>
        <w:spacing w:line="240" w:lineRule="auto"/>
      </w:pPr>
      <w:r>
        <w:continuationSeparator/>
      </w:r>
    </w:p>
  </w:footnote>
  <w:footnote w:type="continuationNotice" w:id="1">
    <w:p w:rsidR="00683784" w:rsidRDefault="00683784">
      <w:pPr>
        <w:spacing w:line="240" w:lineRule="auto"/>
      </w:pPr>
    </w:p>
  </w:footnote>
  <w:footnote w:id="2">
    <w:p w:rsidR="00EB2F01" w:rsidRPr="007D6282" w:rsidRDefault="00EB2F01" w:rsidP="00C82EBC">
      <w:pPr>
        <w:pStyle w:val="FootnoteText"/>
        <w:tabs>
          <w:tab w:val="left" w:pos="567"/>
        </w:tabs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t xml:space="preserve"> </w:t>
      </w:r>
      <w:r>
        <w:tab/>
      </w:r>
      <w:hyperlink r:id="rId1" w:history="1">
        <w:r>
          <w:rPr>
            <w:rStyle w:val="Hyperlink"/>
            <w:sz w:val="16"/>
            <w:szCs w:val="16"/>
          </w:rPr>
          <w:t>https://ec.europa.eu/commission/sites/beta-political/files/reflection-paper-social-dimension-europe_en.pdf</w:t>
        </w:r>
      </w:hyperlink>
    </w:p>
  </w:footnote>
  <w:footnote w:id="3">
    <w:p w:rsidR="00EB2F01" w:rsidRPr="007D6282" w:rsidRDefault="00EB2F01" w:rsidP="007D6282">
      <w:pPr>
        <w:pStyle w:val="FootnoteText"/>
        <w:tabs>
          <w:tab w:val="left" w:pos="567"/>
        </w:tabs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t xml:space="preserve"> </w:t>
      </w:r>
      <w:r>
        <w:tab/>
      </w:r>
      <w:hyperlink r:id="rId2" w:history="1">
        <w:r>
          <w:rPr>
            <w:rStyle w:val="Hyperlink"/>
            <w:sz w:val="16"/>
            <w:szCs w:val="16"/>
          </w:rPr>
          <w:t>https://eur-lex.europa.eu/LexUriServ/LexUriServ.do?uri=OJ:C:2012:102:0006:0010:EN:PDF</w:t>
        </w:r>
      </w:hyperlink>
    </w:p>
  </w:footnote>
  <w:footnote w:id="4">
    <w:p w:rsidR="00EB2F01" w:rsidRPr="007D6282" w:rsidRDefault="00EB2F01" w:rsidP="007D6282">
      <w:pPr>
        <w:pStyle w:val="FootnoteText"/>
        <w:tabs>
          <w:tab w:val="left" w:pos="567"/>
        </w:tabs>
        <w:ind w:left="567" w:hanging="567"/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 xml:space="preserve">COM(2020) 447 </w:t>
      </w:r>
      <w:proofErr w:type="spellStart"/>
      <w:r>
        <w:rPr>
          <w:sz w:val="16"/>
          <w:szCs w:val="16"/>
        </w:rPr>
        <w:t>final</w:t>
      </w:r>
      <w:proofErr w:type="spellEnd"/>
      <w:r>
        <w:rPr>
          <w:sz w:val="16"/>
          <w:szCs w:val="16"/>
        </w:rPr>
        <w:t>.</w:t>
      </w:r>
    </w:p>
  </w:footnote>
  <w:footnote w:id="5">
    <w:p w:rsidR="00EB2F01" w:rsidRPr="007D6282" w:rsidRDefault="00EB2F01" w:rsidP="007D6282">
      <w:pPr>
        <w:pStyle w:val="FootnoteText"/>
        <w:tabs>
          <w:tab w:val="left" w:pos="567"/>
        </w:tabs>
        <w:ind w:left="567" w:hanging="567"/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rPr>
          <w:rStyle w:val="FootnoteReference"/>
          <w:sz w:val="24"/>
          <w:szCs w:val="24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 xml:space="preserve">U Komunikaciji „Potpora za zapošljavanje mladih: lakši prelazak u svijet rada za novu generaciju” (COM(2020) 276 </w:t>
      </w:r>
      <w:proofErr w:type="spellStart"/>
      <w:r>
        <w:rPr>
          <w:sz w:val="16"/>
          <w:szCs w:val="16"/>
        </w:rPr>
        <w:t>final</w:t>
      </w:r>
      <w:proofErr w:type="spellEnd"/>
      <w:r>
        <w:rPr>
          <w:sz w:val="16"/>
          <w:szCs w:val="16"/>
        </w:rPr>
        <w:t>) Komisija je pozvala države članice da intenzivnije podupiru zapošljavanje mladih i povećaju razinu potpore namijenjene tome u odnosu na razdoblje financiranja 2014.–2020., koja bi prema procjeni iznosila 22 milijarde EUR.</w:t>
      </w:r>
    </w:p>
  </w:footnote>
  <w:footnote w:id="6">
    <w:p w:rsidR="00EB2F01" w:rsidRPr="007D6282" w:rsidRDefault="00EB2F01" w:rsidP="007D6282">
      <w:pPr>
        <w:pStyle w:val="FootnoteText"/>
        <w:tabs>
          <w:tab w:val="left" w:pos="567"/>
        </w:tabs>
        <w:ind w:left="567" w:hanging="567"/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t xml:space="preserve"> </w:t>
      </w:r>
      <w:r>
        <w:tab/>
      </w:r>
      <w:r>
        <w:t>Preporuka Vijeća „Lakši prelazak u svijet rada – jačanje Garancije za mlade” politički je dogovorena u Vijeću i biti će donesena prije kraja 2020.</w:t>
      </w:r>
    </w:p>
  </w:footnote>
  <w:footnote w:id="7">
    <w:p w:rsidR="00EB2F01" w:rsidRPr="007D6282" w:rsidRDefault="00EB2F01" w:rsidP="007D6282">
      <w:pPr>
        <w:pStyle w:val="FootnoteText"/>
        <w:tabs>
          <w:tab w:val="left" w:pos="567"/>
        </w:tabs>
        <w:ind w:left="567" w:hanging="567"/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 xml:space="preserve">COM(2020) 276 </w:t>
      </w:r>
      <w:proofErr w:type="spellStart"/>
      <w:r>
        <w:rPr>
          <w:sz w:val="16"/>
          <w:szCs w:val="16"/>
        </w:rPr>
        <w:t>final</w:t>
      </w:r>
      <w:proofErr w:type="spellEnd"/>
      <w:r>
        <w:rPr>
          <w:sz w:val="16"/>
          <w:szCs w:val="16"/>
        </w:rPr>
        <w:t xml:space="preserve">. </w:t>
      </w:r>
    </w:p>
  </w:footnote>
  <w:footnote w:id="8">
    <w:p w:rsidR="002867F1" w:rsidRPr="007D6282" w:rsidRDefault="002867F1">
      <w:pPr>
        <w:pStyle w:val="FootnoteText"/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t xml:space="preserve"> </w:t>
      </w:r>
      <w:r>
        <w:tab/>
      </w:r>
      <w:r>
        <w:rPr>
          <w:sz w:val="16"/>
          <w:szCs w:val="16"/>
        </w:rPr>
        <w:t xml:space="preserve">COM(2020) 274 </w:t>
      </w:r>
      <w:proofErr w:type="spellStart"/>
      <w:r>
        <w:rPr>
          <w:sz w:val="16"/>
          <w:szCs w:val="16"/>
        </w:rPr>
        <w:t>final</w:t>
      </w:r>
      <w:proofErr w:type="spellEnd"/>
      <w:r>
        <w:rPr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41C97EA"/>
    <w:lvl w:ilvl="0">
      <w:start w:val="1"/>
      <w:numFmt w:val="decimal"/>
      <w:lvlText w:val="%1."/>
      <w:legacy w:legacy="1" w:legacySpace="0" w:legacyIndent="0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egacy w:legacy="1" w:legacySpace="144" w:legacyIndent="0"/>
      <w:lvlJc w:val="left"/>
      <w:rPr>
        <w:b w:val="0"/>
      </w:rPr>
    </w:lvl>
    <w:lvl w:ilvl="2">
      <w:start w:val="1"/>
      <w:numFmt w:val="decimal"/>
      <w:lvlText w:val="%1.%2.%3"/>
      <w:legacy w:legacy="1" w:legacySpace="144" w:legacyIndent="0"/>
      <w:lvlJc w:val="left"/>
      <w:rPr>
        <w:b w:val="0"/>
      </w:rPr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575010D"/>
    <w:multiLevelType w:val="hybridMultilevel"/>
    <w:tmpl w:val="E924CD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E26D84"/>
    <w:multiLevelType w:val="hybridMultilevel"/>
    <w:tmpl w:val="3C9A2C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E10D59"/>
    <w:multiLevelType w:val="hybridMultilevel"/>
    <w:tmpl w:val="A8204F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360DF6"/>
    <w:multiLevelType w:val="hybridMultilevel"/>
    <w:tmpl w:val="DEACEA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37C1B"/>
    <w:multiLevelType w:val="hybridMultilevel"/>
    <w:tmpl w:val="DE224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4794F"/>
    <w:multiLevelType w:val="hybridMultilevel"/>
    <w:tmpl w:val="2F448F7A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6AF6D72"/>
    <w:multiLevelType w:val="hybridMultilevel"/>
    <w:tmpl w:val="0156BE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2E3ADF"/>
    <w:multiLevelType w:val="hybridMultilevel"/>
    <w:tmpl w:val="988469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A2E0E"/>
    <w:multiLevelType w:val="hybridMultilevel"/>
    <w:tmpl w:val="077EC1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FB3D22"/>
    <w:multiLevelType w:val="hybridMultilevel"/>
    <w:tmpl w:val="C8C49C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0A0A3A"/>
    <w:multiLevelType w:val="hybridMultilevel"/>
    <w:tmpl w:val="19C28C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5706E"/>
    <w:multiLevelType w:val="hybridMultilevel"/>
    <w:tmpl w:val="2D3CA368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DF3DB0"/>
    <w:multiLevelType w:val="hybridMultilevel"/>
    <w:tmpl w:val="B4328B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727B0"/>
    <w:multiLevelType w:val="hybridMultilevel"/>
    <w:tmpl w:val="67E07D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4864EC"/>
    <w:multiLevelType w:val="hybridMultilevel"/>
    <w:tmpl w:val="150CDCA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0D35B15"/>
    <w:multiLevelType w:val="hybridMultilevel"/>
    <w:tmpl w:val="FC4476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9C1308"/>
    <w:multiLevelType w:val="hybridMultilevel"/>
    <w:tmpl w:val="D716FD64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819A8"/>
    <w:multiLevelType w:val="hybridMultilevel"/>
    <w:tmpl w:val="D310C6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A2403"/>
    <w:multiLevelType w:val="hybridMultilevel"/>
    <w:tmpl w:val="8A4296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9E1247"/>
    <w:multiLevelType w:val="hybridMultilevel"/>
    <w:tmpl w:val="1F4C3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414E37"/>
    <w:multiLevelType w:val="hybridMultilevel"/>
    <w:tmpl w:val="2C5C0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36E80"/>
    <w:multiLevelType w:val="hybridMultilevel"/>
    <w:tmpl w:val="0E66A7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3CE6A304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351A38"/>
    <w:multiLevelType w:val="hybridMultilevel"/>
    <w:tmpl w:val="3162C3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5E14A5"/>
    <w:multiLevelType w:val="hybridMultilevel"/>
    <w:tmpl w:val="5CC67A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77317D"/>
    <w:multiLevelType w:val="hybridMultilevel"/>
    <w:tmpl w:val="6A885AB2"/>
    <w:lvl w:ilvl="0" w:tplc="3F1A2BB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161A9"/>
    <w:multiLevelType w:val="hybridMultilevel"/>
    <w:tmpl w:val="9EE40B06"/>
    <w:lvl w:ilvl="0" w:tplc="222075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E36C4"/>
    <w:multiLevelType w:val="hybridMultilevel"/>
    <w:tmpl w:val="8B62B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14D7F"/>
    <w:multiLevelType w:val="hybridMultilevel"/>
    <w:tmpl w:val="7F2E71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7E2FCA"/>
    <w:multiLevelType w:val="hybridMultilevel"/>
    <w:tmpl w:val="3446B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70112"/>
    <w:multiLevelType w:val="hybridMultilevel"/>
    <w:tmpl w:val="93C8C5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ED3DA0"/>
    <w:multiLevelType w:val="hybridMultilevel"/>
    <w:tmpl w:val="CC3257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207D62"/>
    <w:multiLevelType w:val="hybridMultilevel"/>
    <w:tmpl w:val="BF525C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825AC9"/>
    <w:multiLevelType w:val="hybridMultilevel"/>
    <w:tmpl w:val="2744D9E4"/>
    <w:lvl w:ilvl="0" w:tplc="222075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FA460E"/>
    <w:multiLevelType w:val="multilevel"/>
    <w:tmpl w:val="C150B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570" w:hanging="57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891A7C"/>
    <w:multiLevelType w:val="hybridMultilevel"/>
    <w:tmpl w:val="67280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D15C8B"/>
    <w:multiLevelType w:val="hybridMultilevel"/>
    <w:tmpl w:val="3540373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D84E72"/>
    <w:multiLevelType w:val="hybridMultilevel"/>
    <w:tmpl w:val="6D82B1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A266CD"/>
    <w:multiLevelType w:val="hybridMultilevel"/>
    <w:tmpl w:val="8B2A6B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C424AAB"/>
    <w:multiLevelType w:val="hybridMultilevel"/>
    <w:tmpl w:val="768A0C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CFD3F4A"/>
    <w:multiLevelType w:val="hybridMultilevel"/>
    <w:tmpl w:val="5144F4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D351C0"/>
    <w:multiLevelType w:val="hybridMultilevel"/>
    <w:tmpl w:val="F27AE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8"/>
  </w:num>
  <w:num w:numId="4">
    <w:abstractNumId w:val="13"/>
  </w:num>
  <w:num w:numId="5">
    <w:abstractNumId w:val="31"/>
  </w:num>
  <w:num w:numId="6">
    <w:abstractNumId w:val="9"/>
  </w:num>
  <w:num w:numId="7">
    <w:abstractNumId w:val="8"/>
  </w:num>
  <w:num w:numId="8">
    <w:abstractNumId w:val="40"/>
  </w:num>
  <w:num w:numId="9">
    <w:abstractNumId w:val="15"/>
  </w:num>
  <w:num w:numId="10">
    <w:abstractNumId w:val="3"/>
  </w:num>
  <w:num w:numId="11">
    <w:abstractNumId w:val="30"/>
  </w:num>
  <w:num w:numId="12">
    <w:abstractNumId w:val="14"/>
  </w:num>
  <w:num w:numId="13">
    <w:abstractNumId w:val="36"/>
  </w:num>
  <w:num w:numId="14">
    <w:abstractNumId w:val="27"/>
  </w:num>
  <w:num w:numId="15">
    <w:abstractNumId w:val="2"/>
  </w:num>
  <w:num w:numId="16">
    <w:abstractNumId w:val="22"/>
  </w:num>
  <w:num w:numId="17">
    <w:abstractNumId w:val="12"/>
  </w:num>
  <w:num w:numId="18">
    <w:abstractNumId w:val="25"/>
  </w:num>
  <w:num w:numId="19">
    <w:abstractNumId w:val="20"/>
  </w:num>
  <w:num w:numId="20">
    <w:abstractNumId w:val="23"/>
  </w:num>
  <w:num w:numId="21">
    <w:abstractNumId w:val="21"/>
  </w:num>
  <w:num w:numId="22">
    <w:abstractNumId w:val="34"/>
  </w:num>
  <w:num w:numId="23">
    <w:abstractNumId w:val="5"/>
  </w:num>
  <w:num w:numId="24">
    <w:abstractNumId w:val="16"/>
  </w:num>
  <w:num w:numId="25">
    <w:abstractNumId w:val="17"/>
  </w:num>
  <w:num w:numId="26">
    <w:abstractNumId w:val="35"/>
  </w:num>
  <w:num w:numId="27">
    <w:abstractNumId w:val="11"/>
  </w:num>
  <w:num w:numId="28">
    <w:abstractNumId w:val="26"/>
  </w:num>
  <w:num w:numId="29">
    <w:abstractNumId w:val="33"/>
  </w:num>
  <w:num w:numId="30">
    <w:abstractNumId w:val="32"/>
  </w:num>
  <w:num w:numId="31">
    <w:abstractNumId w:val="7"/>
  </w:num>
  <w:num w:numId="32">
    <w:abstractNumId w:val="38"/>
  </w:num>
  <w:num w:numId="33">
    <w:abstractNumId w:val="29"/>
  </w:num>
  <w:num w:numId="34">
    <w:abstractNumId w:val="24"/>
  </w:num>
  <w:num w:numId="35">
    <w:abstractNumId w:val="28"/>
  </w:num>
  <w:num w:numId="36">
    <w:abstractNumId w:val="41"/>
  </w:num>
  <w:num w:numId="37">
    <w:abstractNumId w:val="6"/>
  </w:num>
  <w:num w:numId="38">
    <w:abstractNumId w:val="37"/>
  </w:num>
  <w:num w:numId="39">
    <w:abstractNumId w:val="39"/>
  </w:num>
  <w:num w:numId="40">
    <w:abstractNumId w:val="19"/>
  </w:num>
  <w:num w:numId="41">
    <w:abstractNumId w:val="10"/>
  </w:num>
  <w:num w:numId="42">
    <w:abstractNumId w:val="4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2285A"/>
    <w:rsid w:val="000115F3"/>
    <w:rsid w:val="00014693"/>
    <w:rsid w:val="00014E6A"/>
    <w:rsid w:val="0001607A"/>
    <w:rsid w:val="0002399B"/>
    <w:rsid w:val="00025C0A"/>
    <w:rsid w:val="00032B76"/>
    <w:rsid w:val="00034B02"/>
    <w:rsid w:val="00041D24"/>
    <w:rsid w:val="00046905"/>
    <w:rsid w:val="0005130E"/>
    <w:rsid w:val="00052C63"/>
    <w:rsid w:val="00052CB0"/>
    <w:rsid w:val="00053254"/>
    <w:rsid w:val="00053923"/>
    <w:rsid w:val="0005456E"/>
    <w:rsid w:val="00067F05"/>
    <w:rsid w:val="00081341"/>
    <w:rsid w:val="00092FB6"/>
    <w:rsid w:val="000938C4"/>
    <w:rsid w:val="000A0D57"/>
    <w:rsid w:val="000A676E"/>
    <w:rsid w:val="000A7400"/>
    <w:rsid w:val="000B6015"/>
    <w:rsid w:val="000B6528"/>
    <w:rsid w:val="000D7781"/>
    <w:rsid w:val="000F034A"/>
    <w:rsid w:val="000F3666"/>
    <w:rsid w:val="000F448C"/>
    <w:rsid w:val="00100433"/>
    <w:rsid w:val="00122601"/>
    <w:rsid w:val="001303C7"/>
    <w:rsid w:val="00131BAD"/>
    <w:rsid w:val="00133C10"/>
    <w:rsid w:val="00135709"/>
    <w:rsid w:val="00141B6A"/>
    <w:rsid w:val="001508E5"/>
    <w:rsid w:val="00150CCB"/>
    <w:rsid w:val="00151730"/>
    <w:rsid w:val="00161FA6"/>
    <w:rsid w:val="00162E43"/>
    <w:rsid w:val="00164507"/>
    <w:rsid w:val="00164C40"/>
    <w:rsid w:val="00165C5A"/>
    <w:rsid w:val="00170B9B"/>
    <w:rsid w:val="00176CAE"/>
    <w:rsid w:val="0018679E"/>
    <w:rsid w:val="00192316"/>
    <w:rsid w:val="00194608"/>
    <w:rsid w:val="001A2814"/>
    <w:rsid w:val="001A2928"/>
    <w:rsid w:val="001A2D75"/>
    <w:rsid w:val="001B3DE5"/>
    <w:rsid w:val="001B62E2"/>
    <w:rsid w:val="001C24E4"/>
    <w:rsid w:val="001C2739"/>
    <w:rsid w:val="001D1C58"/>
    <w:rsid w:val="001D49B1"/>
    <w:rsid w:val="001D6B54"/>
    <w:rsid w:val="001D7401"/>
    <w:rsid w:val="001E18B4"/>
    <w:rsid w:val="001F20A4"/>
    <w:rsid w:val="00202FA0"/>
    <w:rsid w:val="00206C91"/>
    <w:rsid w:val="00207F48"/>
    <w:rsid w:val="002143E7"/>
    <w:rsid w:val="00216B6A"/>
    <w:rsid w:val="00221331"/>
    <w:rsid w:val="002302EF"/>
    <w:rsid w:val="0023381A"/>
    <w:rsid w:val="00234ED5"/>
    <w:rsid w:val="0023752B"/>
    <w:rsid w:val="00237BCF"/>
    <w:rsid w:val="00256E2E"/>
    <w:rsid w:val="00256F0C"/>
    <w:rsid w:val="002574BD"/>
    <w:rsid w:val="00267B85"/>
    <w:rsid w:val="00275FB7"/>
    <w:rsid w:val="00276AF1"/>
    <w:rsid w:val="00283BCC"/>
    <w:rsid w:val="002849B5"/>
    <w:rsid w:val="002867F1"/>
    <w:rsid w:val="00297A95"/>
    <w:rsid w:val="002C2A13"/>
    <w:rsid w:val="002D435E"/>
    <w:rsid w:val="002D4474"/>
    <w:rsid w:val="002D687E"/>
    <w:rsid w:val="002D78A2"/>
    <w:rsid w:val="002E4558"/>
    <w:rsid w:val="002E7C63"/>
    <w:rsid w:val="00302240"/>
    <w:rsid w:val="003179F6"/>
    <w:rsid w:val="003246B4"/>
    <w:rsid w:val="0032643C"/>
    <w:rsid w:val="00330D7D"/>
    <w:rsid w:val="00343863"/>
    <w:rsid w:val="00356DF4"/>
    <w:rsid w:val="00360D28"/>
    <w:rsid w:val="00363E4E"/>
    <w:rsid w:val="0038092C"/>
    <w:rsid w:val="00381051"/>
    <w:rsid w:val="003814FB"/>
    <w:rsid w:val="003825D2"/>
    <w:rsid w:val="003831AE"/>
    <w:rsid w:val="00394636"/>
    <w:rsid w:val="00397E5D"/>
    <w:rsid w:val="003A17FB"/>
    <w:rsid w:val="003B12A8"/>
    <w:rsid w:val="003C1C84"/>
    <w:rsid w:val="003C2756"/>
    <w:rsid w:val="003C6A76"/>
    <w:rsid w:val="003D208F"/>
    <w:rsid w:val="003D64D4"/>
    <w:rsid w:val="003E0FE7"/>
    <w:rsid w:val="003E36A3"/>
    <w:rsid w:val="003F310F"/>
    <w:rsid w:val="00416589"/>
    <w:rsid w:val="00416F28"/>
    <w:rsid w:val="00421A56"/>
    <w:rsid w:val="00422DE3"/>
    <w:rsid w:val="00455FAA"/>
    <w:rsid w:val="00457987"/>
    <w:rsid w:val="004672CD"/>
    <w:rsid w:val="00467B9B"/>
    <w:rsid w:val="00474C1C"/>
    <w:rsid w:val="004817E9"/>
    <w:rsid w:val="00483C2D"/>
    <w:rsid w:val="0049793A"/>
    <w:rsid w:val="004A63B0"/>
    <w:rsid w:val="004C08B7"/>
    <w:rsid w:val="004C40A8"/>
    <w:rsid w:val="004D5A56"/>
    <w:rsid w:val="004D6DCD"/>
    <w:rsid w:val="004D765D"/>
    <w:rsid w:val="004E1969"/>
    <w:rsid w:val="004E394E"/>
    <w:rsid w:val="004E6147"/>
    <w:rsid w:val="004E6536"/>
    <w:rsid w:val="004E71CD"/>
    <w:rsid w:val="004F3E8B"/>
    <w:rsid w:val="004F4966"/>
    <w:rsid w:val="004F6D31"/>
    <w:rsid w:val="00501E02"/>
    <w:rsid w:val="00504067"/>
    <w:rsid w:val="00512960"/>
    <w:rsid w:val="00516393"/>
    <w:rsid w:val="0051715E"/>
    <w:rsid w:val="00520210"/>
    <w:rsid w:val="0052074E"/>
    <w:rsid w:val="00523C75"/>
    <w:rsid w:val="00527019"/>
    <w:rsid w:val="005366D6"/>
    <w:rsid w:val="00541BE3"/>
    <w:rsid w:val="00542BFC"/>
    <w:rsid w:val="00544F9B"/>
    <w:rsid w:val="00545845"/>
    <w:rsid w:val="00546AEC"/>
    <w:rsid w:val="00551DF1"/>
    <w:rsid w:val="00557917"/>
    <w:rsid w:val="005708AD"/>
    <w:rsid w:val="00574134"/>
    <w:rsid w:val="005810D1"/>
    <w:rsid w:val="00583165"/>
    <w:rsid w:val="00591229"/>
    <w:rsid w:val="005977FF"/>
    <w:rsid w:val="00597990"/>
    <w:rsid w:val="005A4DE6"/>
    <w:rsid w:val="005B2DC3"/>
    <w:rsid w:val="005B3884"/>
    <w:rsid w:val="005C55D6"/>
    <w:rsid w:val="005D06A9"/>
    <w:rsid w:val="005D5EB3"/>
    <w:rsid w:val="005E422E"/>
    <w:rsid w:val="00600069"/>
    <w:rsid w:val="00601828"/>
    <w:rsid w:val="006106B7"/>
    <w:rsid w:val="0062568E"/>
    <w:rsid w:val="00637313"/>
    <w:rsid w:val="006475F5"/>
    <w:rsid w:val="00651753"/>
    <w:rsid w:val="00662DAD"/>
    <w:rsid w:val="00680D0A"/>
    <w:rsid w:val="00683784"/>
    <w:rsid w:val="0068468C"/>
    <w:rsid w:val="00685424"/>
    <w:rsid w:val="00690EA1"/>
    <w:rsid w:val="006A0A27"/>
    <w:rsid w:val="006A3AC8"/>
    <w:rsid w:val="006A6308"/>
    <w:rsid w:val="006C313B"/>
    <w:rsid w:val="006C3EA1"/>
    <w:rsid w:val="006C7232"/>
    <w:rsid w:val="006D03C7"/>
    <w:rsid w:val="006D7CA9"/>
    <w:rsid w:val="006E239E"/>
    <w:rsid w:val="006E25E8"/>
    <w:rsid w:val="006E2F96"/>
    <w:rsid w:val="006E637D"/>
    <w:rsid w:val="006F05D5"/>
    <w:rsid w:val="006F1412"/>
    <w:rsid w:val="00707604"/>
    <w:rsid w:val="00713D60"/>
    <w:rsid w:val="0072116E"/>
    <w:rsid w:val="00721DAE"/>
    <w:rsid w:val="0072285A"/>
    <w:rsid w:val="00727544"/>
    <w:rsid w:val="00733ED3"/>
    <w:rsid w:val="0073453E"/>
    <w:rsid w:val="00735CF1"/>
    <w:rsid w:val="0074046E"/>
    <w:rsid w:val="00760515"/>
    <w:rsid w:val="007753DD"/>
    <w:rsid w:val="00777281"/>
    <w:rsid w:val="00777E8D"/>
    <w:rsid w:val="007905B1"/>
    <w:rsid w:val="007923D6"/>
    <w:rsid w:val="00795798"/>
    <w:rsid w:val="007A1EBE"/>
    <w:rsid w:val="007A4C60"/>
    <w:rsid w:val="007C4B51"/>
    <w:rsid w:val="007D5468"/>
    <w:rsid w:val="007D6282"/>
    <w:rsid w:val="007D78B0"/>
    <w:rsid w:val="007E1479"/>
    <w:rsid w:val="007E71D2"/>
    <w:rsid w:val="007F06FE"/>
    <w:rsid w:val="007F2CBE"/>
    <w:rsid w:val="00802BB6"/>
    <w:rsid w:val="00812835"/>
    <w:rsid w:val="00813159"/>
    <w:rsid w:val="00813175"/>
    <w:rsid w:val="0081584B"/>
    <w:rsid w:val="00816F4D"/>
    <w:rsid w:val="00824102"/>
    <w:rsid w:val="0082432A"/>
    <w:rsid w:val="008334CE"/>
    <w:rsid w:val="00834904"/>
    <w:rsid w:val="00843D2C"/>
    <w:rsid w:val="00844255"/>
    <w:rsid w:val="00862342"/>
    <w:rsid w:val="00864E4E"/>
    <w:rsid w:val="008707AC"/>
    <w:rsid w:val="0087706E"/>
    <w:rsid w:val="008839C1"/>
    <w:rsid w:val="008911F1"/>
    <w:rsid w:val="00892F78"/>
    <w:rsid w:val="0089643A"/>
    <w:rsid w:val="008B149E"/>
    <w:rsid w:val="008C0E34"/>
    <w:rsid w:val="008C4469"/>
    <w:rsid w:val="008D2AB3"/>
    <w:rsid w:val="008D4711"/>
    <w:rsid w:val="008D5638"/>
    <w:rsid w:val="008E118B"/>
    <w:rsid w:val="008F79F2"/>
    <w:rsid w:val="00900A36"/>
    <w:rsid w:val="009049AD"/>
    <w:rsid w:val="00905E0B"/>
    <w:rsid w:val="00913EFC"/>
    <w:rsid w:val="0092426C"/>
    <w:rsid w:val="009243B3"/>
    <w:rsid w:val="00934DE3"/>
    <w:rsid w:val="009521C5"/>
    <w:rsid w:val="009556D1"/>
    <w:rsid w:val="00955CC3"/>
    <w:rsid w:val="00956A7E"/>
    <w:rsid w:val="0096073F"/>
    <w:rsid w:val="00963831"/>
    <w:rsid w:val="00963907"/>
    <w:rsid w:val="00963CAE"/>
    <w:rsid w:val="00964812"/>
    <w:rsid w:val="00966530"/>
    <w:rsid w:val="00975F99"/>
    <w:rsid w:val="00980663"/>
    <w:rsid w:val="009A26F3"/>
    <w:rsid w:val="009A3B0A"/>
    <w:rsid w:val="009A6986"/>
    <w:rsid w:val="009B4D06"/>
    <w:rsid w:val="009D4BA6"/>
    <w:rsid w:val="009D61A0"/>
    <w:rsid w:val="009E1D16"/>
    <w:rsid w:val="009F12EC"/>
    <w:rsid w:val="00A01F44"/>
    <w:rsid w:val="00A10939"/>
    <w:rsid w:val="00A1673A"/>
    <w:rsid w:val="00A22BE1"/>
    <w:rsid w:val="00A22F3A"/>
    <w:rsid w:val="00A23EB5"/>
    <w:rsid w:val="00A26CF2"/>
    <w:rsid w:val="00A27344"/>
    <w:rsid w:val="00A3011E"/>
    <w:rsid w:val="00A31CB4"/>
    <w:rsid w:val="00A3420D"/>
    <w:rsid w:val="00A374F6"/>
    <w:rsid w:val="00A44404"/>
    <w:rsid w:val="00A44C00"/>
    <w:rsid w:val="00A571FB"/>
    <w:rsid w:val="00A60CBD"/>
    <w:rsid w:val="00A627FF"/>
    <w:rsid w:val="00A6794C"/>
    <w:rsid w:val="00AA0A34"/>
    <w:rsid w:val="00AC32BD"/>
    <w:rsid w:val="00AE25ED"/>
    <w:rsid w:val="00AE28C2"/>
    <w:rsid w:val="00AF2098"/>
    <w:rsid w:val="00AF3183"/>
    <w:rsid w:val="00B00737"/>
    <w:rsid w:val="00B04466"/>
    <w:rsid w:val="00B106AE"/>
    <w:rsid w:val="00B2663E"/>
    <w:rsid w:val="00B322C0"/>
    <w:rsid w:val="00B34D34"/>
    <w:rsid w:val="00B40809"/>
    <w:rsid w:val="00B439B5"/>
    <w:rsid w:val="00B64CF9"/>
    <w:rsid w:val="00B65A9B"/>
    <w:rsid w:val="00B7123C"/>
    <w:rsid w:val="00B82791"/>
    <w:rsid w:val="00B84141"/>
    <w:rsid w:val="00B84E8E"/>
    <w:rsid w:val="00B8537F"/>
    <w:rsid w:val="00B85A43"/>
    <w:rsid w:val="00B8636D"/>
    <w:rsid w:val="00B8680B"/>
    <w:rsid w:val="00B87B5D"/>
    <w:rsid w:val="00B9336C"/>
    <w:rsid w:val="00BA1F92"/>
    <w:rsid w:val="00BB1B45"/>
    <w:rsid w:val="00BB2C93"/>
    <w:rsid w:val="00BB429C"/>
    <w:rsid w:val="00BB7CA9"/>
    <w:rsid w:val="00BC2F4F"/>
    <w:rsid w:val="00BC4DFB"/>
    <w:rsid w:val="00BD1A92"/>
    <w:rsid w:val="00BD5B75"/>
    <w:rsid w:val="00BE04A0"/>
    <w:rsid w:val="00BE4728"/>
    <w:rsid w:val="00BE4BA0"/>
    <w:rsid w:val="00C01120"/>
    <w:rsid w:val="00C01839"/>
    <w:rsid w:val="00C041EB"/>
    <w:rsid w:val="00C06CC1"/>
    <w:rsid w:val="00C06DC9"/>
    <w:rsid w:val="00C075AB"/>
    <w:rsid w:val="00C20C91"/>
    <w:rsid w:val="00C318C3"/>
    <w:rsid w:val="00C34231"/>
    <w:rsid w:val="00C35ACB"/>
    <w:rsid w:val="00C51CDC"/>
    <w:rsid w:val="00C608E8"/>
    <w:rsid w:val="00C62953"/>
    <w:rsid w:val="00C641F3"/>
    <w:rsid w:val="00C65035"/>
    <w:rsid w:val="00C66625"/>
    <w:rsid w:val="00C6742B"/>
    <w:rsid w:val="00C75BF9"/>
    <w:rsid w:val="00C805EF"/>
    <w:rsid w:val="00C82EBC"/>
    <w:rsid w:val="00C84735"/>
    <w:rsid w:val="00C945EC"/>
    <w:rsid w:val="00C97045"/>
    <w:rsid w:val="00CA1F75"/>
    <w:rsid w:val="00CA2769"/>
    <w:rsid w:val="00CA5888"/>
    <w:rsid w:val="00CB01B5"/>
    <w:rsid w:val="00CB40F6"/>
    <w:rsid w:val="00CB59AB"/>
    <w:rsid w:val="00CB78E1"/>
    <w:rsid w:val="00CC0748"/>
    <w:rsid w:val="00CC2877"/>
    <w:rsid w:val="00CE0C02"/>
    <w:rsid w:val="00CE3FF6"/>
    <w:rsid w:val="00CE5349"/>
    <w:rsid w:val="00CE6161"/>
    <w:rsid w:val="00CE647D"/>
    <w:rsid w:val="00CF62BC"/>
    <w:rsid w:val="00D05EFB"/>
    <w:rsid w:val="00D21912"/>
    <w:rsid w:val="00D23217"/>
    <w:rsid w:val="00D2347B"/>
    <w:rsid w:val="00D30FFF"/>
    <w:rsid w:val="00D42921"/>
    <w:rsid w:val="00D46EE1"/>
    <w:rsid w:val="00D60C7D"/>
    <w:rsid w:val="00D62509"/>
    <w:rsid w:val="00D73854"/>
    <w:rsid w:val="00D83929"/>
    <w:rsid w:val="00D92803"/>
    <w:rsid w:val="00D95224"/>
    <w:rsid w:val="00D96749"/>
    <w:rsid w:val="00D970BA"/>
    <w:rsid w:val="00DA6BFC"/>
    <w:rsid w:val="00DC0DF4"/>
    <w:rsid w:val="00DC10FC"/>
    <w:rsid w:val="00DC130C"/>
    <w:rsid w:val="00DC5206"/>
    <w:rsid w:val="00DD5024"/>
    <w:rsid w:val="00DD6575"/>
    <w:rsid w:val="00DE0EAA"/>
    <w:rsid w:val="00DF7306"/>
    <w:rsid w:val="00E01C1B"/>
    <w:rsid w:val="00E01D16"/>
    <w:rsid w:val="00E02AB5"/>
    <w:rsid w:val="00E040F8"/>
    <w:rsid w:val="00E0617C"/>
    <w:rsid w:val="00E12B0B"/>
    <w:rsid w:val="00E136C4"/>
    <w:rsid w:val="00E15129"/>
    <w:rsid w:val="00E1591B"/>
    <w:rsid w:val="00E35306"/>
    <w:rsid w:val="00E3553B"/>
    <w:rsid w:val="00E416E1"/>
    <w:rsid w:val="00E437FD"/>
    <w:rsid w:val="00E44082"/>
    <w:rsid w:val="00E46B57"/>
    <w:rsid w:val="00E555CA"/>
    <w:rsid w:val="00E56486"/>
    <w:rsid w:val="00E6624D"/>
    <w:rsid w:val="00E70070"/>
    <w:rsid w:val="00E83696"/>
    <w:rsid w:val="00E92E7E"/>
    <w:rsid w:val="00EA2779"/>
    <w:rsid w:val="00EA509C"/>
    <w:rsid w:val="00EB1C0F"/>
    <w:rsid w:val="00EB2F01"/>
    <w:rsid w:val="00EB524C"/>
    <w:rsid w:val="00EB757B"/>
    <w:rsid w:val="00EC1680"/>
    <w:rsid w:val="00EC5B66"/>
    <w:rsid w:val="00ED149D"/>
    <w:rsid w:val="00ED15E6"/>
    <w:rsid w:val="00ED3456"/>
    <w:rsid w:val="00ED7ACC"/>
    <w:rsid w:val="00EE17DD"/>
    <w:rsid w:val="00EE2DE9"/>
    <w:rsid w:val="00EF2742"/>
    <w:rsid w:val="00EF499D"/>
    <w:rsid w:val="00EF64DD"/>
    <w:rsid w:val="00EF764C"/>
    <w:rsid w:val="00F04DCA"/>
    <w:rsid w:val="00F1181A"/>
    <w:rsid w:val="00F11EF0"/>
    <w:rsid w:val="00F12A32"/>
    <w:rsid w:val="00F1429C"/>
    <w:rsid w:val="00F165DD"/>
    <w:rsid w:val="00F2366F"/>
    <w:rsid w:val="00F32EC7"/>
    <w:rsid w:val="00F34D21"/>
    <w:rsid w:val="00F37A45"/>
    <w:rsid w:val="00F416B5"/>
    <w:rsid w:val="00F5129F"/>
    <w:rsid w:val="00F52BD7"/>
    <w:rsid w:val="00F56CB3"/>
    <w:rsid w:val="00F603F6"/>
    <w:rsid w:val="00F771E0"/>
    <w:rsid w:val="00F84647"/>
    <w:rsid w:val="00FA14B4"/>
    <w:rsid w:val="00FA2335"/>
    <w:rsid w:val="00FA4BF5"/>
    <w:rsid w:val="00FB2486"/>
    <w:rsid w:val="00FB5AB4"/>
    <w:rsid w:val="00FD5044"/>
    <w:rsid w:val="00FE1A83"/>
    <w:rsid w:val="00FF02EB"/>
    <w:rsid w:val="00FF128D"/>
    <w:rsid w:val="00FF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08762808-7259-4888-8A2B-495016CBCEB6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64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qFormat/>
    <w:rsid w:val="006837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3784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683784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683784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683784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683784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683784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683784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68378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85A"/>
    <w:pPr>
      <w:spacing w:after="200" w:line="276" w:lineRule="auto"/>
      <w:ind w:left="720"/>
      <w:contextualSpacing/>
    </w:pPr>
    <w:rPr>
      <w:rFonts w:ascii="Calibri" w:hAnsi="Calibri"/>
    </w:rPr>
  </w:style>
  <w:style w:type="paragraph" w:styleId="FootnoteText">
    <w:name w:val="footnote text"/>
    <w:basedOn w:val="Normal"/>
    <w:link w:val="FootnoteTextChar"/>
    <w:unhideWhenUsed/>
    <w:qFormat/>
    <w:rsid w:val="0068378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E71D2"/>
    <w:rPr>
      <w:sz w:val="20"/>
      <w:szCs w:val="20"/>
      <w:lang w:val="hr-HR"/>
    </w:rPr>
  </w:style>
  <w:style w:type="character" w:styleId="FootnoteReference">
    <w:name w:val="footnote reference"/>
    <w:basedOn w:val="DefaultParagraphFont"/>
    <w:unhideWhenUsed/>
    <w:qFormat/>
    <w:rsid w:val="0068378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A4C6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A4C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A4C60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C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C60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Revision">
    <w:name w:val="Revision"/>
    <w:hidden/>
    <w:uiPriority w:val="99"/>
    <w:semiHidden/>
    <w:rsid w:val="007A4C60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C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C60"/>
    <w:rPr>
      <w:rFonts w:ascii="Tahoma" w:eastAsia="Times New Roman" w:hAnsi="Tahoma" w:cs="Tahoma"/>
      <w:sz w:val="16"/>
      <w:szCs w:val="16"/>
      <w:lang w:val="hr-HR"/>
    </w:rPr>
  </w:style>
  <w:style w:type="character" w:customStyle="1" w:styleId="normaltextrun">
    <w:name w:val="normaltextrun"/>
    <w:basedOn w:val="DefaultParagraphFont"/>
    <w:rsid w:val="00F12A32"/>
  </w:style>
  <w:style w:type="character" w:customStyle="1" w:styleId="eop">
    <w:name w:val="eop"/>
    <w:basedOn w:val="DefaultParagraphFont"/>
    <w:rsid w:val="00F12A32"/>
  </w:style>
  <w:style w:type="character" w:customStyle="1" w:styleId="spellingerror">
    <w:name w:val="spellingerror"/>
    <w:basedOn w:val="DefaultParagraphFont"/>
    <w:rsid w:val="00CC0748"/>
  </w:style>
  <w:style w:type="paragraph" w:styleId="Header">
    <w:name w:val="header"/>
    <w:basedOn w:val="Normal"/>
    <w:link w:val="HeaderChar"/>
    <w:unhideWhenUsed/>
    <w:qFormat/>
    <w:rsid w:val="00683784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B1C0F"/>
    <w:rPr>
      <w:lang w:val="hr-HR"/>
    </w:rPr>
  </w:style>
  <w:style w:type="paragraph" w:styleId="Footer">
    <w:name w:val="footer"/>
    <w:basedOn w:val="Normal"/>
    <w:link w:val="FooterChar"/>
    <w:unhideWhenUsed/>
    <w:qFormat/>
    <w:rsid w:val="00683784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EB1C0F"/>
    <w:rPr>
      <w:lang w:val="hr-HR"/>
    </w:rPr>
  </w:style>
  <w:style w:type="character" w:customStyle="1" w:styleId="Heading1Char">
    <w:name w:val="Heading 1 Char"/>
    <w:basedOn w:val="DefaultParagraphFont"/>
    <w:link w:val="Heading1"/>
    <w:rsid w:val="00CE534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DC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B2DC3"/>
    <w:rPr>
      <w:rFonts w:eastAsiaTheme="minorEastAsia"/>
      <w:color w:val="5A5A5A" w:themeColor="text1" w:themeTint="A5"/>
      <w:spacing w:val="15"/>
      <w:lang w:val="hr-HR"/>
    </w:rPr>
  </w:style>
  <w:style w:type="character" w:styleId="Hyperlink">
    <w:name w:val="Hyperlink"/>
    <w:basedOn w:val="DefaultParagraphFont"/>
    <w:uiPriority w:val="99"/>
    <w:unhideWhenUsed/>
    <w:rsid w:val="00014E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A31CB4"/>
    <w:rPr>
      <w:lang w:val="hr-HR"/>
    </w:rPr>
  </w:style>
  <w:style w:type="character" w:customStyle="1" w:styleId="Heading3Char">
    <w:name w:val="Heading 3 Char"/>
    <w:basedOn w:val="DefaultParagraphFont"/>
    <w:link w:val="Heading3"/>
    <w:rsid w:val="00A31CB4"/>
    <w:rPr>
      <w:lang w:val="hr-HR"/>
    </w:rPr>
  </w:style>
  <w:style w:type="character" w:customStyle="1" w:styleId="Heading4Char">
    <w:name w:val="Heading 4 Char"/>
    <w:basedOn w:val="DefaultParagraphFont"/>
    <w:link w:val="Heading4"/>
    <w:rsid w:val="00A31CB4"/>
    <w:rPr>
      <w:lang w:val="hr-HR"/>
    </w:rPr>
  </w:style>
  <w:style w:type="character" w:customStyle="1" w:styleId="Heading5Char">
    <w:name w:val="Heading 5 Char"/>
    <w:basedOn w:val="DefaultParagraphFont"/>
    <w:link w:val="Heading5"/>
    <w:rsid w:val="00A31CB4"/>
    <w:rPr>
      <w:lang w:val="hr-HR"/>
    </w:rPr>
  </w:style>
  <w:style w:type="character" w:customStyle="1" w:styleId="Heading6Char">
    <w:name w:val="Heading 6 Char"/>
    <w:basedOn w:val="DefaultParagraphFont"/>
    <w:link w:val="Heading6"/>
    <w:rsid w:val="00A31CB4"/>
    <w:rPr>
      <w:lang w:val="hr-HR"/>
    </w:rPr>
  </w:style>
  <w:style w:type="character" w:customStyle="1" w:styleId="Heading7Char">
    <w:name w:val="Heading 7 Char"/>
    <w:basedOn w:val="DefaultParagraphFont"/>
    <w:link w:val="Heading7"/>
    <w:rsid w:val="00A31CB4"/>
    <w:rPr>
      <w:lang w:val="hr-HR"/>
    </w:rPr>
  </w:style>
  <w:style w:type="character" w:customStyle="1" w:styleId="Heading8Char">
    <w:name w:val="Heading 8 Char"/>
    <w:basedOn w:val="DefaultParagraphFont"/>
    <w:link w:val="Heading8"/>
    <w:rsid w:val="00A31CB4"/>
    <w:rPr>
      <w:lang w:val="hr-HR"/>
    </w:rPr>
  </w:style>
  <w:style w:type="character" w:customStyle="1" w:styleId="Heading9Char">
    <w:name w:val="Heading 9 Char"/>
    <w:basedOn w:val="DefaultParagraphFont"/>
    <w:link w:val="Heading9"/>
    <w:rsid w:val="00A31CB4"/>
    <w:rPr>
      <w:lang w:val="hr-HR"/>
    </w:rPr>
  </w:style>
  <w:style w:type="paragraph" w:customStyle="1" w:styleId="quotes">
    <w:name w:val="quotes"/>
    <w:basedOn w:val="Normal"/>
    <w:next w:val="Normal"/>
    <w:rsid w:val="00A31CB4"/>
    <w:pPr>
      <w:ind w:left="7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26" Type="http://schemas.openxmlformats.org/officeDocument/2006/relationships/customXml" Target="../customXml/item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5" Type="http://schemas.microsoft.com/office/2016/09/relationships/commentsIds" Target="commentsIds.xml"/><Relationship Id="rId16" Type="http://schemas.openxmlformats.org/officeDocument/2006/relationships/footer" Target="footer1.xml"/><Relationship Id="rId29" Type="http://schemas.openxmlformats.org/officeDocument/2006/relationships/customXml" Target="../customXml/item4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8/08/relationships/commentsExtensible" Target="commentsExtensible.xml"/><Relationship Id="rId15" Type="http://schemas.openxmlformats.org/officeDocument/2006/relationships/hyperlink" Target="https://s3platform.jrc.ec.europa.eu/social-economy" TargetMode="External"/><Relationship Id="rId28" Type="http://schemas.openxmlformats.org/officeDocument/2006/relationships/customXml" Target="../customXml/item3.xml"/><Relationship Id="rId10" Type="http://schemas.openxmlformats.org/officeDocument/2006/relationships/footnotes" Target="footnotes.xml"/><Relationship Id="rId9" Type="http://schemas.openxmlformats.org/officeDocument/2006/relationships/webSettings" Target="webSettings.xml"/><Relationship Id="rId14" Type="http://schemas.openxmlformats.org/officeDocument/2006/relationships/hyperlink" Target="https://www.europeanjobdays.eu/en" TargetMode="External"/><Relationship Id="rId27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xUriServ/LexUriServ.do?uri=OJ:C:2012:102:0006:0010:EN:PDF" TargetMode="External"/><Relationship Id="rId1" Type="http://schemas.openxmlformats.org/officeDocument/2006/relationships/hyperlink" Target="https://ec.europa.eu/commission/sites/beta-political/files/reflection-paper-social-dimension-europe_en.pdf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3T5AXJEHYTWU-1246943346-5578</_dlc_DocId>
    <_dlc_DocIdUrl xmlns="0b452354-65a4-4dd6-8824-e6b830247e3e">
      <Url>http://dm2016/cor/2020/_layouts/15/DocIdRedir.aspx?ID=3T5AXJEHYTWU-1246943346-5578</Url>
      <Description>3T5AXJEHYTWU-1246943346-5578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2020-11-23T12:00:00+00:00</ProductionDate>
    <FicheYear xmlns="0b452354-65a4-4dd6-8824-e6b830247e3e">2020</FicheYear>
    <DocumentNumber xmlns="4bbe3f12-7728-4332-8165-6531ead52725">4835</DocumentNumber>
    <DocumentVersion xmlns="0b452354-65a4-4dd6-8824-e6b830247e3e">1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31</Value>
      <Value>30</Value>
      <Value>29</Value>
      <Value>27</Value>
      <Value>26</Value>
      <Value>25</Value>
      <Value>23</Value>
      <Value>22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12567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56E1D434-8D4F-4BFF-AC8E-C92EC84F2B37}"/>
</file>

<file path=customXml/itemProps2.xml><?xml version="1.0" encoding="utf-8"?>
<ds:datastoreItem xmlns:ds="http://schemas.openxmlformats.org/officeDocument/2006/customXml" ds:itemID="{505281BA-AC23-4036-8426-32BA8ADD4C17}"/>
</file>

<file path=customXml/itemProps3.xml><?xml version="1.0" encoding="utf-8"?>
<ds:datastoreItem xmlns:ds="http://schemas.openxmlformats.org/officeDocument/2006/customXml" ds:itemID="{C261930E-43C7-4665-BBA8-0D2B8A031898}"/>
</file>

<file path=customXml/itemProps4.xml><?xml version="1.0" encoding="utf-8"?>
<ds:datastoreItem xmlns:ds="http://schemas.openxmlformats.org/officeDocument/2006/customXml" ds:itemID="{40403F72-3D88-4053-8B53-CE51D27BBC2D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2</TotalTime>
  <Pages>9</Pages>
  <Words>2645</Words>
  <Characters>15079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EESC-ECOR</Company>
  <LinksUpToDate>false</LinksUpToDate>
  <CharactersWithSpaces>17689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 -  DG EMPL - zajednički dokument: Područja na kojima je moguća pojačana suradnja </dc:title>
  <dc:creator>Thomas Wobben</dc:creator>
  <cp:keywords>COR-2020-04835-00-01-TCD-TRA-EN</cp:keywords>
  <dc:description>Rapporteur:  - Original language: EN - Date of document: 23/11/2020 - Date of meeting: 25/11/2020 - External documents:  - Administrator:  PETRAS Georgios</dc:description>
  <cp:lastModifiedBy>Stanko Vecko</cp:lastModifiedBy>
  <cp:revision>3</cp:revision>
  <cp:lastPrinted>2020-10-07T12:59:00Z</cp:lastPrinted>
  <dcterms:created xsi:type="dcterms:W3CDTF">2020-11-23T12:22:00Z</dcterms:created>
  <dcterms:modified xsi:type="dcterms:W3CDTF">2020-11-23T12:57:00Z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17/11/2020, 17/11/2020, 03/11/2020</vt:lpwstr>
  </property>
  <property fmtid="{D5CDD505-2E9C-101B-9397-08002B2CF9AE}" pid="4" name="Pref_Time">
    <vt:lpwstr>17:11:11, 17:01:01, 11:51:23</vt:lpwstr>
  </property>
  <property fmtid="{D5CDD505-2E9C-101B-9397-08002B2CF9AE}" pid="5" name="Pref_User">
    <vt:lpwstr>enied, ssex, amett</vt:lpwstr>
  </property>
  <property fmtid="{D5CDD505-2E9C-101B-9397-08002B2CF9AE}" pid="6" name="Pref_FileName">
    <vt:lpwstr>COR-2020-04835-00-01-TCD-TRA-EN-CRR.docx, COR-2020-04835-00-01-TCD-CRR-EN.docx, COR-2020-04835-00-00-TCD-TRA-EN-CRR.docx</vt:lpwstr>
  </property>
  <property fmtid="{D5CDD505-2E9C-101B-9397-08002B2CF9AE}" pid="7" name="ContentTypeId">
    <vt:lpwstr>0x010100EA97B91038054C99906057A708A1480A00165174FC8F090445A2AE79FCF6D9A29A</vt:lpwstr>
  </property>
  <property fmtid="{D5CDD505-2E9C-101B-9397-08002B2CF9AE}" pid="8" name="_dlc_DocIdItemGuid">
    <vt:lpwstr>0101785c-9def-4b91-9610-40b0985f3028</vt:lpwstr>
  </property>
  <property fmtid="{D5CDD505-2E9C-101B-9397-08002B2CF9AE}" pid="9" name="AvailableTranslations">
    <vt:lpwstr>31;#LV|46f7e311-5d9f-4663-b433-18aeccb7ace7;#4;#FR|d2afafd3-4c81-4f60-8f52-ee33f2f54ff3;#16;#ES|e7a6b05b-ae16-40c8-add9-68b64b03aeba;#36;#FI|87606a43-d45f-42d6-b8c9-e1a3457db5b7;#34;#CS|72f9705b-0217-4fd3-bea2-cbc7ed80e26e;#19;#LT|a7ff5ce7-6123-4f68-865a-a57c31810414;#35;#PT|50ccc04a-eadd-42ae-a0cb-acaf45f812ba;#13;#HR|2f555653-ed1a-4fe6-8362-9082d95989e5;#12;#EL|6d4f4d51-af9b-4650-94b4-4276bee85c91;#38;#RO|feb747a2-64cd-4299-af12-4833ddc30497;#14;#MT|7df99101-6854-4a26-b53a-b88c0da02c26;#18;#NL|55c6556c-b4f4-441d-9acf-c498d4f838bd;#23;#DE|f6b31e5a-26fa-4935-b661-318e46daf27e;#30;#DA|5d49c027-8956-412b-aa16-e85a0f96ad0e;#27;#HU|6b229040-c589-4408-b4c1-4285663d20a8;#26;#SL|98a412ae-eb01-49e9-ae3d-585a81724cfc;#17;#PL|1e03da61-4678-4e07-b136-b5024ca9197b;#37;#BG|1a1b3951-7821-4e6a-85f5-5673fc08bd2c;#29;#SV|c2ed69e7-a339-43d7-8f22-d93680a92aa0;#25;#ET|ff6c3f4c-b02c-4c3c-ab07-2c37995a7a0a;#11;#IT|0774613c-01ed-4e5d-a25d-11d2388de825;#15;#SK|46d9fce0-ef79-4f71-b89b-cd6aa82426b8;#7;#EN|f2175f21-25d7-44a3-96da-d6a61b075e1b</vt:lpwstr>
  </property>
  <property fmtid="{D5CDD505-2E9C-101B-9397-08002B2CF9AE}" pid="10" name="DocumentType_0">
    <vt:lpwstr>TCD|cd9d6eb6-3f4f-424a-b2d1-57c9d450eaaf</vt:lpwstr>
  </property>
  <property fmtid="{D5CDD505-2E9C-101B-9397-08002B2CF9AE}" pid="11" name="MeetingNumber">
    <vt:i4>5</vt:i4>
  </property>
  <property fmtid="{D5CDD505-2E9C-101B-9397-08002B2CF9AE}" pid="12" name="DossierName_0">
    <vt:lpwstr/>
  </property>
  <property fmtid="{D5CDD505-2E9C-101B-9397-08002B2CF9AE}" pid="13" name="DocumentSource_0">
    <vt:lpwstr>CoR|cb2d75ef-4a7d-4393-b797-49ed6298a5ea</vt:lpwstr>
  </property>
  <property fmtid="{D5CDD505-2E9C-101B-9397-08002B2CF9AE}" pid="14" name="DocumentNumber">
    <vt:i4>4835</vt:i4>
  </property>
  <property fmtid="{D5CDD505-2E9C-101B-9397-08002B2CF9AE}" pid="15" name="FicheYear">
    <vt:i4>2020</vt:i4>
  </property>
  <property fmtid="{D5CDD505-2E9C-101B-9397-08002B2CF9AE}" pid="16" name="DocumentVersion">
    <vt:i4>1</vt:i4>
  </property>
  <property fmtid="{D5CDD505-2E9C-101B-9397-08002B2CF9AE}" pid="17" name="DocumentStatus">
    <vt:lpwstr>8;#TRA|150d2a88-1431-44e6-a8ca-0bb753ab8672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/>
  </property>
  <property fmtid="{D5CDD505-2E9C-101B-9397-08002B2CF9AE}" pid="20" name="DocumentSource">
    <vt:lpwstr>1;#CoR|cb2d75ef-4a7d-4393-b797-49ed6298a5ea</vt:lpwstr>
  </property>
  <property fmtid="{D5CDD505-2E9C-101B-9397-08002B2CF9AE}" pid="22" name="DocumentType">
    <vt:lpwstr>22;#TCD|cd9d6eb6-3f4f-424a-b2d1-57c9d450eaaf</vt:lpwstr>
  </property>
  <property fmtid="{D5CDD505-2E9C-101B-9397-08002B2CF9AE}" pid="23" name="RequestingService">
    <vt:lpwstr>Commission SEDEC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SEDEC-VII|2234d809-5ab4-4b5b-84d4-8dd3531523c3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7;#EN|f2175f21-25d7-44a3-96da-d6a61b075e1b</vt:lpwstr>
  </property>
  <property fmtid="{D5CDD505-2E9C-101B-9397-08002B2CF9AE}" pid="28" name="MeetingName">
    <vt:lpwstr>50;#SEDEC-VII|2234d809-5ab4-4b5b-84d4-8dd3531523c3</vt:lpwstr>
  </property>
  <property fmtid="{D5CDD505-2E9C-101B-9397-08002B2CF9AE}" pid="29" name="MeetingDate">
    <vt:filetime>2020-11-25T12:00:00Z</vt:filetime>
  </property>
  <property fmtid="{D5CDD505-2E9C-101B-9397-08002B2CF9AE}" pid="30" name="AvailableTranslations_0">
    <vt:lpwstr>LV|46f7e311-5d9f-4663-b433-18aeccb7ace7;LT|a7ff5ce7-6123-4f68-865a-a57c31810414;PT|50ccc04a-eadd-42ae-a0cb-acaf45f812ba;MT|7df99101-6854-4a26-b53a-b88c0da02c26;PL|1e03da61-4678-4e07-b136-b5024ca9197b;EN|f2175f21-25d7-44a3-96da-d6a61b075e1b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35;#PT|50ccc04a-eadd-42ae-a0cb-acaf45f812ba;#31;#LV|46f7e311-5d9f-4663-b433-18aeccb7ace7;#22;#TCD|cd9d6eb6-3f4f-424a-b2d1-57c9d450eaaf;#19;#LT|a7ff5ce7-6123-4f68-865a-a57c31810414;#17;#PL|1e03da61-4678-4e07-b136-b5024ca9197b;#14;#MT|7df99101-6854-4a26-b53a-b88c0da02c26;#50;#SEDEC-VII|2234d809-5ab4-4b5b-84d4-8dd3531523c3;#8;#TRA|150d2a88-1431-44e6-a8ca-0bb753ab8672;#7;#EN|f2175f21-25d7-44a3-96da-d6a61b075e1b;#6;#Final|ea5e6674-7b27-4bac-b091-73adbb394efe;#5;#Unrestricted|826e22d7-d029-4ec0-a450-0c28ff673572;#1;#CoR|cb2d75ef-4a7d-4393-b797-49ed6298a5ea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12567</vt:i4>
  </property>
  <property fmtid="{D5CDD505-2E9C-101B-9397-08002B2CF9AE}" pid="38" name="DocumentLanguage">
    <vt:lpwstr>13;#HR|2f555653-ed1a-4fe6-8362-9082d95989e5</vt:lpwstr>
  </property>
  <property fmtid="{D5CDD505-2E9C-101B-9397-08002B2CF9AE}" pid="39" name="_docset_NoMedatataSyncRequired">
    <vt:lpwstr>False</vt:lpwstr>
  </property>
</Properties>
</file>