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3814FB" w:rsidRDefault="0023381A" w:rsidP="00151730">
      <w:pPr>
        <w:rPr>
          <w:b/>
          <w:sz w:val="36"/>
          <w:szCs w:val="36"/>
          <w:u w:val="single"/>
        </w:rPr>
      </w:pPr>
      <w:r>
        <w:rPr>
          <w:noProof/>
          <w:lang w:val="en-US"/>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354A6" w:rsidRPr="00DE789A">
        <w:rPr>
          <w:noProof/>
          <w:lang w:val="en-US"/>
        </w:rPr>
        <w:drawing>
          <wp:inline distT="0" distB="0" distL="0" distR="0" wp14:anchorId="3AD45B20" wp14:editId="7FB89D62">
            <wp:extent cx="1800000" cy="1558636"/>
            <wp:effectExtent l="0" t="0" r="0" b="3810"/>
            <wp:docPr id="19" name="Picture 19" descr="C:\Users\mreg\Music\New LOGO CoR\Logo\logo_CoR-vertical-positive-hu-quadri_MR.jpg" title="CoRLogo_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 CoR\Logo\logo_CoR-vertical-positive-hu-quadri_M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p>
    <w:p w:rsidR="00B87B5D" w:rsidRPr="003814FB" w:rsidRDefault="00C82EBC">
      <w:pPr>
        <w:jc w:val="center"/>
        <w:rPr>
          <w:b/>
          <w:sz w:val="36"/>
          <w:szCs w:val="36"/>
          <w:u w:val="single"/>
        </w:rPr>
      </w:pPr>
      <w:r>
        <w:rPr>
          <w:b/>
          <w:noProof/>
          <w:sz w:val="20"/>
          <w:szCs w:val="36"/>
          <w:u w:val="single"/>
          <w:lang w:val="en-US"/>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HU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HU</w:t>
                      </w:r>
                    </w:p>
                  </w:txbxContent>
                </v:textbox>
                <w10:wrap anchorx="page" anchory="page"/>
              </v:shape>
            </w:pict>
          </mc:Fallback>
        </mc:AlternateContent>
      </w:r>
    </w:p>
    <w:p w:rsidR="0072285A" w:rsidRPr="003814FB" w:rsidRDefault="00C34231">
      <w:pPr>
        <w:jc w:val="center"/>
        <w:rPr>
          <w:b/>
          <w:sz w:val="36"/>
          <w:u w:val="single"/>
        </w:rPr>
      </w:pPr>
      <w:r>
        <w:rPr>
          <w:b/>
          <w:sz w:val="36"/>
          <w:u w:val="single"/>
        </w:rPr>
        <w:t xml:space="preserve">A Régiók Európai Bizottsága (RB) és A Foglalkoztatás, </w:t>
      </w:r>
      <w:r w:rsidR="009354A6">
        <w:rPr>
          <w:b/>
          <w:sz w:val="36"/>
          <w:u w:val="single"/>
        </w:rPr>
        <w:br/>
      </w:r>
      <w:r>
        <w:rPr>
          <w:b/>
          <w:sz w:val="36"/>
          <w:u w:val="single"/>
        </w:rPr>
        <w:t>a Szociális Ügyek és a Társadalmi Befogadás Főigazgatósága (DG EMPL) közötti megerősített együttműködés területei</w:t>
      </w:r>
    </w:p>
    <w:p w:rsidR="001C24E4" w:rsidRPr="003814FB" w:rsidRDefault="001C24E4">
      <w:pPr>
        <w:jc w:val="center"/>
        <w:rPr>
          <w:b/>
          <w:sz w:val="36"/>
          <w:szCs w:val="36"/>
          <w:u w:val="single"/>
          <w:lang w:val="en-GB"/>
        </w:rPr>
      </w:pPr>
    </w:p>
    <w:p w:rsidR="009521C5" w:rsidRPr="007D6282" w:rsidRDefault="009521C5" w:rsidP="007D6282">
      <w:pPr>
        <w:pStyle w:val="Heading1"/>
        <w:numPr>
          <w:ilvl w:val="0"/>
          <w:numId w:val="22"/>
        </w:numPr>
        <w:ind w:left="567" w:hanging="567"/>
        <w:rPr>
          <w:rFonts w:ascii="Times New Roman" w:hAnsi="Times New Roman"/>
          <w:b/>
          <w:color w:val="auto"/>
          <w:sz w:val="24"/>
        </w:rPr>
      </w:pPr>
      <w:r>
        <w:rPr>
          <w:rFonts w:ascii="Times New Roman" w:hAnsi="Times New Roman"/>
          <w:b/>
          <w:color w:val="auto"/>
          <w:sz w:val="24"/>
        </w:rPr>
        <w:t>Bevezetés</w:t>
      </w:r>
    </w:p>
    <w:p w:rsidR="00014693" w:rsidRPr="007D6282" w:rsidRDefault="00014693">
      <w:pPr>
        <w:rPr>
          <w:sz w:val="24"/>
          <w:szCs w:val="24"/>
          <w:lang w:val="en-GB"/>
        </w:rPr>
      </w:pPr>
    </w:p>
    <w:p w:rsidR="00014E6A" w:rsidRPr="007D6282" w:rsidRDefault="00C82EBC" w:rsidP="009354A6">
      <w:pPr>
        <w:jc w:val="both"/>
        <w:rPr>
          <w:color w:val="000000"/>
        </w:rPr>
      </w:pPr>
      <w:r>
        <w:t>Nem csak a Covid19-válság óta nyilvánvaló, hogy a „szociális Európa” alapvetően fontos ahhoz, hogy az EU hozzájáruljon a demokratikus, összetartó, kulturálisan sokszínű és virágzó társadalmak létéhez. Ez magában foglalja a gazdasági és társadalmi előrehaladást, a megkülönböztetés és a társadalmi kirekesztés leküzdését, az európaiak alkalmassá tételét a munkaerőpiaci részvételre, valamint annak lehetővé tételét, hogy teljes értékű életet élhessenek</w:t>
      </w:r>
      <w:r w:rsidR="00014E6A" w:rsidRPr="007D6282">
        <w:rPr>
          <w:rStyle w:val="FootnoteReference"/>
          <w:lang w:val="en-GB"/>
        </w:rPr>
        <w:footnoteReference w:id="2"/>
      </w:r>
      <w:r>
        <w:t xml:space="preserve">. </w:t>
      </w:r>
    </w:p>
    <w:p w:rsidR="00014E6A" w:rsidRPr="007D6282" w:rsidRDefault="00014E6A">
      <w:pPr>
        <w:rPr>
          <w:color w:val="000000"/>
          <w:lang w:val="en-GB"/>
        </w:rPr>
      </w:pPr>
    </w:p>
    <w:p w:rsidR="00014E6A" w:rsidRPr="003814FB" w:rsidRDefault="00014E6A" w:rsidP="005D5EB3">
      <w:pPr>
        <w:jc w:val="both"/>
      </w:pPr>
      <w:r>
        <w:t xml:space="preserve">Bár a Régiók Európai Bizottsága (RB) és A Foglalkoztatás, a Szociális Ügyek és a Társadalmi Befogadás Főigazgatósága (DG EMPL) korábban több területen is együttműködött, nyilvánvaló, hogy az előttünk álló kihívások és a területért felelős biztos határozott érdeklődése lehetőséget kínálnak arra, hogy ezen a területen új szintre lépjen az Európai Bizottság és az RB közötti együttműködés. </w:t>
      </w:r>
    </w:p>
    <w:p w:rsidR="00014E6A" w:rsidRPr="003814FB" w:rsidRDefault="00014E6A">
      <w:pPr>
        <w:rPr>
          <w:lang w:val="en-GB"/>
        </w:rPr>
      </w:pPr>
    </w:p>
    <w:p w:rsidR="00014E6A" w:rsidRPr="007D6282" w:rsidRDefault="00014E6A" w:rsidP="007D6282">
      <w:pPr>
        <w:pStyle w:val="ListParagraph"/>
        <w:numPr>
          <w:ilvl w:val="0"/>
          <w:numId w:val="26"/>
        </w:numPr>
        <w:ind w:left="360"/>
        <w:jc w:val="both"/>
      </w:pPr>
      <w:r>
        <w:rPr>
          <w:rFonts w:ascii="Times New Roman" w:hAnsi="Times New Roman"/>
        </w:rPr>
        <w:t xml:space="preserve">Nicolas Schmit biztos figyelemreméltó érdeklődést mutatott az RB iránt, mivel kevesebb mint egy éven belül részt vett két plenáris ülésen és a „Szociálpolitika, oktatás, foglalkoztatás, kutatás és kultúra” szakbizottság (SEDEC) szakbizottság egyik ülésén. </w:t>
      </w:r>
    </w:p>
    <w:p w:rsidR="00164C40" w:rsidRPr="007D6282" w:rsidRDefault="00164C40" w:rsidP="007D6282">
      <w:pPr>
        <w:pStyle w:val="ListParagraph"/>
        <w:numPr>
          <w:ilvl w:val="0"/>
          <w:numId w:val="26"/>
        </w:numPr>
        <w:ind w:left="360"/>
        <w:jc w:val="both"/>
      </w:pPr>
      <w:r>
        <w:rPr>
          <w:rFonts w:ascii="Times New Roman" w:hAnsi="Times New Roman"/>
        </w:rPr>
        <w:t>Joost Korte (a DG EMPL főigazgatója) 2020 februárjában részt vett a SEDEC ülésén, ahol beszédet mondott, és arra ösztönözte az RB tagjait, hogy – ahogy azt „A méltányos átállást szolgáló erős szociális Európa” című bizottsági közlemény is kéri – adjanak visszajelzést (a SEDEC erről szóló véleménye már készülőben van).</w:t>
      </w:r>
    </w:p>
    <w:p w:rsidR="00164C40" w:rsidRPr="007D6282" w:rsidRDefault="00164C40" w:rsidP="007D6282">
      <w:pPr>
        <w:pStyle w:val="ListParagraph"/>
        <w:numPr>
          <w:ilvl w:val="0"/>
          <w:numId w:val="26"/>
        </w:numPr>
        <w:ind w:left="360"/>
        <w:jc w:val="both"/>
      </w:pPr>
      <w:r>
        <w:rPr>
          <w:rFonts w:ascii="Times New Roman" w:hAnsi="Times New Roman"/>
        </w:rPr>
        <w:lastRenderedPageBreak/>
        <w:t>Mind a biztos, mind a főigazgató egyértelműen kijelentette, hogy aktív részvételt várnak el az RB-től a (2021. májusi) portói szociális csúcstalálkozó és a szociális jogok európai pillérének végrehajtására vonatkozó cselekvési terv előkészítésében.</w:t>
      </w:r>
    </w:p>
    <w:p w:rsidR="006A6308" w:rsidRPr="007D6282" w:rsidRDefault="006A6308" w:rsidP="007D6282">
      <w:pPr>
        <w:pStyle w:val="ListParagraph"/>
        <w:numPr>
          <w:ilvl w:val="0"/>
          <w:numId w:val="26"/>
        </w:numPr>
        <w:ind w:left="360"/>
        <w:jc w:val="both"/>
      </w:pPr>
      <w:r>
        <w:rPr>
          <w:rFonts w:ascii="Times New Roman" w:hAnsi="Times New Roman"/>
        </w:rPr>
        <w:t>A biztos és az RB elnökének (július 9-i) találkozóján tovább erősítették a kölcsönös együttműködés szellemét, és itt megerősítést nyert, hogy mindkét intézménynek további lehetőségeket kell keresnie az együttműködésre.</w:t>
      </w:r>
    </w:p>
    <w:p w:rsidR="00864E4E" w:rsidRPr="003814FB" w:rsidRDefault="00864E4E" w:rsidP="005D5EB3">
      <w:pPr>
        <w:jc w:val="both"/>
      </w:pPr>
      <w:r>
        <w:t>Az Európai Bizottság és a Régiók Bizottsága közötti együttműködésről szóló jegyzőkönyvben (2012/C</w:t>
      </w:r>
      <w:r w:rsidR="009354A6">
        <w:t> </w:t>
      </w:r>
      <w:r>
        <w:t>102/02)</w:t>
      </w:r>
      <w:r w:rsidRPr="007D6282">
        <w:rPr>
          <w:lang w:val="en-GB"/>
        </w:rPr>
        <w:footnoteReference w:id="3"/>
      </w:r>
      <w:r>
        <w:t xml:space="preserve"> az Európai Bizottság és a Régiók Bizottsága egyetértett abban, hogy el kell mélyíteni az együttműködésüket. Az RB és a DG EMPL ezen közös dokumentuma meghatározza az intenzívebb együttműködés szakpolitikai területeit és azok főbb eszközeit.</w:t>
      </w:r>
    </w:p>
    <w:p w:rsidR="003D208F" w:rsidRPr="003814FB" w:rsidRDefault="003D208F">
      <w:pPr>
        <w:rPr>
          <w:lang w:val="en-GB"/>
        </w:rPr>
      </w:pPr>
    </w:p>
    <w:p w:rsidR="00EB524C" w:rsidRPr="007D6282" w:rsidRDefault="00EA2779" w:rsidP="007D6282">
      <w:pPr>
        <w:pStyle w:val="Heading1"/>
        <w:numPr>
          <w:ilvl w:val="0"/>
          <w:numId w:val="22"/>
        </w:numPr>
        <w:spacing w:before="0"/>
        <w:ind w:left="567" w:hanging="567"/>
        <w:rPr>
          <w:rFonts w:ascii="Times New Roman" w:hAnsi="Times New Roman"/>
          <w:b/>
          <w:color w:val="auto"/>
          <w:sz w:val="24"/>
        </w:rPr>
      </w:pPr>
      <w:r>
        <w:rPr>
          <w:rFonts w:ascii="Times New Roman" w:hAnsi="Times New Roman"/>
          <w:b/>
          <w:color w:val="auto"/>
          <w:sz w:val="24"/>
        </w:rPr>
        <w:t>Kulcsfontosságú témák az RB és a DG EMPL közötti szorosabb együttműködéshez</w:t>
      </w:r>
    </w:p>
    <w:p w:rsidR="004D765D" w:rsidRPr="003814FB" w:rsidRDefault="004D765D" w:rsidP="007D6282">
      <w:pPr>
        <w:keepNext/>
        <w:rPr>
          <w:lang w:val="en-GB"/>
        </w:rPr>
      </w:pPr>
    </w:p>
    <w:p w:rsidR="00964812" w:rsidRPr="007D6282" w:rsidRDefault="008E118B" w:rsidP="009354A6">
      <w:pPr>
        <w:jc w:val="both"/>
      </w:pPr>
      <w:r>
        <w:t>Tekintettel a társadalmi dimenzióval kapcsolatos témák széles körére és figyelembe véve a rendelkezésre álló forrásokat, az intenzívebb együttműködést azokra a területekre kell koncentrálni, ahol az RB egyértelmű hozzáadott értéket tud nyújtani, és ahol a területi dimenzió a legerősebb. Noha ez nem akadályozza meg az együttműködést más területeken, nevezetesen a szociális gazdaság előmozdításában, a megerősített együttműködés területei tehát a következők:</w:t>
      </w:r>
    </w:p>
    <w:p w:rsidR="003D208F" w:rsidRPr="007D6282" w:rsidRDefault="003D208F">
      <w:pPr>
        <w:rPr>
          <w:lang w:val="en-GB"/>
        </w:rPr>
      </w:pPr>
    </w:p>
    <w:p w:rsidR="00EA2779" w:rsidRPr="007D6282" w:rsidRDefault="00EA2779" w:rsidP="007D6282">
      <w:pPr>
        <w:pStyle w:val="Heading2"/>
        <w:rPr>
          <w:rFonts w:asciiTheme="majorHAnsi" w:hAnsiTheme="majorHAnsi"/>
          <w:color w:val="365F91" w:themeColor="accent1" w:themeShade="BF"/>
        </w:rPr>
      </w:pPr>
      <w:r>
        <w:rPr>
          <w:rFonts w:ascii="Times New Roman" w:hAnsi="Times New Roman"/>
          <w:b/>
          <w:sz w:val="24"/>
          <w:szCs w:val="24"/>
        </w:rPr>
        <w:t>2.1.</w:t>
      </w:r>
      <w:r>
        <w:tab/>
      </w:r>
      <w:r>
        <w:rPr>
          <w:rFonts w:ascii="Times New Roman" w:hAnsi="Times New Roman"/>
          <w:b/>
          <w:sz w:val="24"/>
          <w:szCs w:val="32"/>
        </w:rPr>
        <w:t>A szociális jogok európai pillére</w:t>
      </w:r>
    </w:p>
    <w:p w:rsidR="00EA2779" w:rsidRPr="007D6282" w:rsidRDefault="00EA2779" w:rsidP="007D6282">
      <w:pPr>
        <w:rPr>
          <w:b/>
          <w:u w:val="single"/>
          <w:lang w:val="en-GB"/>
        </w:rPr>
      </w:pPr>
    </w:p>
    <w:p w:rsidR="005366D6" w:rsidRPr="007D6282" w:rsidRDefault="005366D6" w:rsidP="009354A6">
      <w:pPr>
        <w:jc w:val="both"/>
        <w:rPr>
          <w:szCs w:val="24"/>
        </w:rPr>
      </w:pPr>
      <w:r>
        <w:t>A szociális jogok európai pillére egy olyan konszenzuson alapuló dokumentum, amely az Unió foglalkoztatással és szociális ügyekkel kapcsolatos álláspontját tükrözi.</w:t>
      </w:r>
      <w:r>
        <w:rPr>
          <w:i/>
          <w:szCs w:val="24"/>
        </w:rPr>
        <w:t xml:space="preserve"> </w:t>
      </w:r>
      <w:r>
        <w:t>A dokumentumot a legmagasabb politikai szinten hirdették ki, és máris messzemenő intézkedéseket eredményezett uniós, nemzeti, regionális és helyi szinten, megerősítve az EU szociális dimenzióját. 2020. május 27-i közleményével az Európai Bizottság a szociális jogok európai pillérét is a Covid19-válságból való méltányos és inkluzív helyreállítást célzó ütemtervének középpontjába helyezte.</w:t>
      </w:r>
    </w:p>
    <w:p w:rsidR="005366D6" w:rsidRPr="007D6282" w:rsidRDefault="005366D6" w:rsidP="009354A6">
      <w:pPr>
        <w:jc w:val="both"/>
        <w:rPr>
          <w:szCs w:val="24"/>
          <w:lang w:val="en-GB" w:eastAsia="fr-BE"/>
        </w:rPr>
      </w:pPr>
    </w:p>
    <w:p w:rsidR="005366D6" w:rsidRPr="007D6282" w:rsidRDefault="005366D6" w:rsidP="009354A6">
      <w:pPr>
        <w:jc w:val="both"/>
        <w:rPr>
          <w:szCs w:val="24"/>
        </w:rPr>
      </w:pPr>
      <w:r>
        <w:t xml:space="preserve">Az Európai Tanács által 2019 júniusában elfogadott, a 2019–2024 közötti időszakra vonatkozó stratégiai menetrend a pillér uniós és tagállami szintű végrehajtását sürgeti, kellően figyelembe véve a megfelelő hatásköröket. </w:t>
      </w:r>
    </w:p>
    <w:p w:rsidR="003D208F" w:rsidRPr="007D6282" w:rsidRDefault="003D208F" w:rsidP="009354A6">
      <w:pPr>
        <w:jc w:val="both"/>
        <w:rPr>
          <w:szCs w:val="24"/>
          <w:lang w:val="en-GB" w:eastAsia="en-GB"/>
        </w:rPr>
      </w:pPr>
    </w:p>
    <w:p w:rsidR="005366D6" w:rsidRPr="007D6282" w:rsidRDefault="005366D6" w:rsidP="009354A6">
      <w:pPr>
        <w:jc w:val="both"/>
        <w:rPr>
          <w:szCs w:val="24"/>
        </w:rPr>
      </w:pPr>
      <w:r>
        <w:t xml:space="preserve">Von der Leyen elnöknek az Európai Bizottság számára adott politikai iránymutatásai egy olyan cselekvési terv előterjesztése mellett kötelezik el magukat, melynek célja a szociális jogok európai pillérének teljes körű végrehajtása. A méltányos átállást szolgáló erős szociális Európa című, 2020. január 14-i bizottsági közlemény számos kulcsfontosságú intézkedést terjesztett elő 2020-ra és </w:t>
      </w:r>
      <w:r>
        <w:lastRenderedPageBreak/>
        <w:t>2021</w:t>
      </w:r>
      <w:r w:rsidR="009354A6">
        <w:noBreakHyphen/>
      </w:r>
      <w:r>
        <w:t>re, valamint széles körű konzultációs és elköteleződési folyamatot indított el a cselekvési terv előkészületeinek elősegítése érdekében. A jelenlegi Covid19-járvány idején még inkább szükség van szociális támogatásra és védelemre, mivel hatalmas nyomás nehezedik a tagállamok szociális támogatási rendszereire, az EU társadalmi szerkezetét pedig a felbomlás veszélye fenyegeti.</w:t>
      </w:r>
    </w:p>
    <w:p w:rsidR="005366D6" w:rsidRPr="007D6282" w:rsidRDefault="005366D6">
      <w:pPr>
        <w:rPr>
          <w:szCs w:val="24"/>
          <w:lang w:val="en-GB" w:eastAsia="en-GB"/>
        </w:rPr>
      </w:pPr>
    </w:p>
    <w:p w:rsidR="005366D6" w:rsidRPr="007D6282" w:rsidRDefault="005366D6" w:rsidP="009354A6">
      <w:pPr>
        <w:autoSpaceDE w:val="0"/>
        <w:autoSpaceDN w:val="0"/>
        <w:adjustRightInd w:val="0"/>
        <w:jc w:val="both"/>
        <w:rPr>
          <w:szCs w:val="24"/>
        </w:rPr>
      </w:pPr>
      <w:r>
        <w:t xml:space="preserve">Az Európai Bizottság célja az, hogy a cselekvési tervet 2021 elején előterjessze és a 2021 májusában a Tanács soros elnökségét betöltő Portugália által megrendezendő szociális csúcstalálkozó keretében a legmagasabb politikai szinten jóváhagyhassa. </w:t>
      </w:r>
    </w:p>
    <w:p w:rsidR="00CE0C02" w:rsidRPr="007D6282" w:rsidRDefault="00CE0C02" w:rsidP="009354A6">
      <w:pPr>
        <w:jc w:val="both"/>
        <w:rPr>
          <w:bCs/>
          <w:u w:val="single"/>
          <w:lang w:val="en-GB"/>
        </w:rPr>
      </w:pPr>
    </w:p>
    <w:p w:rsidR="00EA2779" w:rsidRPr="007D6282" w:rsidRDefault="00B40809" w:rsidP="009354A6">
      <w:pPr>
        <w:jc w:val="both"/>
        <w:rPr>
          <w:bCs/>
        </w:rPr>
      </w:pPr>
      <w:r>
        <w:t>Nyilvánvaló, hogy a helyi és regionális önkormányzatoknak fontos szerepük van az EU foglalkoztatási és szociális politikáinak kialakításában és végrehajtásában. A Covid19-válság a különböző régiókat gazdasági struktúrájuktól és egészségügyi kitettségüktől függően nagyon különböző módon érinti. A helyi és regionális önkormányzatok segíthetnek abban, hogy olyan válaszlépéseket dolgozzanak ki és hajtsanak végre, amelyek kezelni fogják a társadalmi és területi kohézió válság előtti és utáni kihívásait. Ezért be kell vonni a helyi és regionális önkormányzatokat, nevezetesen az alábbiak révén:</w:t>
      </w:r>
    </w:p>
    <w:p w:rsidR="00CB78E1" w:rsidRPr="007D6282" w:rsidRDefault="00CB78E1" w:rsidP="007D6282">
      <w:pPr>
        <w:rPr>
          <w:bCs/>
          <w:u w:val="single"/>
          <w:lang w:val="en-GB"/>
        </w:rPr>
      </w:pPr>
    </w:p>
    <w:p w:rsidR="00CB78E1" w:rsidRPr="007D6282" w:rsidRDefault="00F771E0" w:rsidP="007D6282">
      <w:pPr>
        <w:pStyle w:val="ListParagraph"/>
        <w:numPr>
          <w:ilvl w:val="0"/>
          <w:numId w:val="19"/>
        </w:numPr>
        <w:spacing w:after="0" w:line="288" w:lineRule="auto"/>
        <w:ind w:left="360"/>
        <w:jc w:val="both"/>
      </w:pPr>
      <w:r>
        <w:rPr>
          <w:rFonts w:ascii="Times New Roman" w:hAnsi="Times New Roman"/>
        </w:rPr>
        <w:t>a méltányos átállást szolgáló erős szociális Európával kapcsolatos RB-vélemény (előadó: Anne Karjalainen (FI/PES), elfogadás a 2020. októberi plenáris ülésen), amely az RB-nek az Európai Bizottság közleményére adott átfogó reagálását tartalmazza;</w:t>
      </w:r>
    </w:p>
    <w:p w:rsidR="00421A56" w:rsidRPr="007D6282" w:rsidRDefault="00421A56" w:rsidP="007D6282">
      <w:pPr>
        <w:pStyle w:val="ListParagraph"/>
        <w:spacing w:after="0" w:line="288" w:lineRule="auto"/>
        <w:ind w:left="360"/>
        <w:jc w:val="both"/>
        <w:rPr>
          <w:bCs/>
        </w:rPr>
      </w:pPr>
    </w:p>
    <w:p w:rsidR="00176CAE" w:rsidRPr="007D6282" w:rsidRDefault="00176CAE" w:rsidP="007D6282">
      <w:pPr>
        <w:pStyle w:val="ListParagraph"/>
        <w:numPr>
          <w:ilvl w:val="0"/>
          <w:numId w:val="19"/>
        </w:numPr>
        <w:spacing w:after="0" w:line="288" w:lineRule="auto"/>
        <w:ind w:left="360"/>
        <w:jc w:val="both"/>
      </w:pPr>
      <w:r>
        <w:rPr>
          <w:rFonts w:ascii="Times New Roman" w:hAnsi="Times New Roman"/>
        </w:rPr>
        <w:t>az RB véleménye a következő tárgyban: Az egészségügyi dolgozók és gondozási szolgáltatások jövőbeni terve – helyi és regionális lehetőségek egy európai kihívás összefüggésében (előadó: megerősítendő);</w:t>
      </w:r>
    </w:p>
    <w:p w:rsidR="00E136C4" w:rsidRPr="007D6282" w:rsidRDefault="00E136C4" w:rsidP="007D6282">
      <w:pPr>
        <w:pStyle w:val="ListParagraph"/>
        <w:spacing w:after="0" w:line="288" w:lineRule="auto"/>
        <w:ind w:left="360"/>
        <w:jc w:val="both"/>
      </w:pPr>
    </w:p>
    <w:p w:rsidR="00F771E0" w:rsidRPr="007D6282" w:rsidRDefault="00421A56" w:rsidP="007D6282">
      <w:pPr>
        <w:pStyle w:val="ListParagraph"/>
        <w:numPr>
          <w:ilvl w:val="0"/>
          <w:numId w:val="19"/>
        </w:numPr>
        <w:spacing w:after="0" w:line="288" w:lineRule="auto"/>
        <w:ind w:left="360"/>
        <w:jc w:val="both"/>
      </w:pPr>
      <w:r>
        <w:rPr>
          <w:rFonts w:ascii="Times New Roman" w:hAnsi="Times New Roman"/>
        </w:rPr>
        <w:t>a Régiók és Városok 2020-as Európai Hetének „Társadalombiztosítás a platformmunkások számára – kihívások és lehetőségek” című ülése a DG EMPL részvételével;</w:t>
      </w:r>
    </w:p>
    <w:p w:rsidR="00267B85" w:rsidRPr="007D6282" w:rsidRDefault="00267B85" w:rsidP="007D6282">
      <w:pPr>
        <w:pStyle w:val="ListParagraph"/>
        <w:spacing w:after="0" w:line="288" w:lineRule="auto"/>
        <w:ind w:left="360"/>
        <w:jc w:val="both"/>
      </w:pPr>
    </w:p>
    <w:p w:rsidR="00512960" w:rsidRPr="007D6282" w:rsidRDefault="00F5129F" w:rsidP="007D6282">
      <w:pPr>
        <w:pStyle w:val="ListParagraph"/>
        <w:numPr>
          <w:ilvl w:val="0"/>
          <w:numId w:val="19"/>
        </w:numPr>
        <w:spacing w:after="0" w:line="288" w:lineRule="auto"/>
        <w:ind w:left="360"/>
        <w:jc w:val="both"/>
        <w:rPr>
          <w:b/>
          <w:u w:val="single"/>
        </w:rPr>
      </w:pPr>
      <w:r>
        <w:rPr>
          <w:rFonts w:ascii="Times New Roman" w:hAnsi="Times New Roman"/>
        </w:rPr>
        <w:t>a Tanács portugál elnökségével egyetemben az Európai Bizottság és az RB megvizsgálja, hogy az RB milyen módon vehetne részt a szociális csúcstalálkozón, hogy érvényesülhessen a szociális jogok európai pillére végrehajtásának területi dimenziója.</w:t>
      </w:r>
    </w:p>
    <w:p w:rsidR="00151730" w:rsidRPr="007D6282" w:rsidRDefault="00151730" w:rsidP="007D6282">
      <w:pPr>
        <w:rPr>
          <w:lang w:val="en-GB"/>
        </w:rPr>
      </w:pPr>
    </w:p>
    <w:p w:rsidR="00EA2779" w:rsidRPr="007D6282" w:rsidRDefault="00EA2779" w:rsidP="007D6282">
      <w:pPr>
        <w:pStyle w:val="Heading2"/>
        <w:ind w:left="426" w:hanging="426"/>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2.2.</w:t>
      </w:r>
      <w:r>
        <w:rPr>
          <w:rFonts w:ascii="Times New Roman" w:hAnsi="Times New Roman"/>
          <w:b/>
          <w:sz w:val="24"/>
          <w:szCs w:val="24"/>
        </w:rPr>
        <w:tab/>
      </w:r>
      <w:r>
        <w:rPr>
          <w:rFonts w:ascii="Times New Roman" w:hAnsi="Times New Roman"/>
          <w:b/>
          <w:sz w:val="24"/>
          <w:szCs w:val="32"/>
        </w:rPr>
        <w:t>Az Európai Szociális Alap Plusz (ESZA+) és a REACT-EU felkészítése az ifjúsági foglalkoztatási intézkedések megfelelő finanszírozásának biztosítására</w:t>
      </w:r>
    </w:p>
    <w:p w:rsidR="00527019" w:rsidRPr="007D6282" w:rsidRDefault="00527019">
      <w:pPr>
        <w:keepNext/>
        <w:rPr>
          <w:lang w:val="en-GB"/>
        </w:rPr>
      </w:pPr>
    </w:p>
    <w:p w:rsidR="00527019" w:rsidRPr="007D6282" w:rsidRDefault="00527019" w:rsidP="009354A6">
      <w:pPr>
        <w:jc w:val="both"/>
        <w:rPr>
          <w:bCs/>
        </w:rPr>
      </w:pPr>
      <w:r>
        <w:t xml:space="preserve">Számos helyi és regionális önkormányzat jelenleg aktívan részt vesz a jövőbeli ESZA+ programok előkészítésében és az ESZA+ alapból történő finanszírozást igénybe vevő projektek kidolgozásában. Az Európai Bizottság azt javasolta, hogy az ESZA+ segítségével növeljék a fiatalok foglalkoztatási intézkedéseinek finanszírozását azokban a tagállamokban, ahol a foglalkoztatásban, oktatásban és </w:t>
      </w:r>
      <w:r>
        <w:lastRenderedPageBreak/>
        <w:t>képzésben nem részesülő fiatalok aránya meghaladja az EU átlagát</w:t>
      </w:r>
      <w:r w:rsidR="006E25E8" w:rsidRPr="007D6282">
        <w:rPr>
          <w:rStyle w:val="FootnoteReference"/>
          <w:bCs/>
          <w:sz w:val="24"/>
          <w:szCs w:val="24"/>
          <w:lang w:val="en-GB"/>
        </w:rPr>
        <w:footnoteReference w:id="4"/>
      </w:r>
      <w:r>
        <w:t>. Ezenkívül az új REACT-EU szintén támogathatja a fiatalok foglalkoztatási intézkedéseit. A jelenlegi világjárvány és annak a fiatalok foglalkoztatására gyakorolt ​valószínűsíthető hatása fényében elengedhetetlen a kiegészítő támogatás előnyeinek maradéktalan kiaknázása.</w:t>
      </w:r>
    </w:p>
    <w:p w:rsidR="00CB78E1" w:rsidRPr="007D6282" w:rsidRDefault="00CB78E1" w:rsidP="009354A6">
      <w:pPr>
        <w:jc w:val="both"/>
        <w:rPr>
          <w:bCs/>
          <w:u w:val="single"/>
          <w:lang w:val="en-GB"/>
        </w:rPr>
      </w:pPr>
    </w:p>
    <w:p w:rsidR="00AE28C2" w:rsidRPr="007D6282" w:rsidRDefault="00F52BD7" w:rsidP="009354A6">
      <w:pPr>
        <w:jc w:val="both"/>
        <w:rPr>
          <w:bCs/>
        </w:rPr>
      </w:pPr>
      <w:r>
        <w:t>Az RB megkönnyítheti az információk és a bevált gyakorlatok cseréjét a REACT-EU és az ESZA+ által az ifjúsági foglalkoztatási intézkedések támogatására nyújtott finanszírozás tekintetében. Ez a pénzügyi támogatás hozzájárul ahhoz az általános uniós célkitűzéshez, hogy fordítsanak legalább 22 milliárd EUR összeget erre a célra</w:t>
      </w:r>
      <w:r w:rsidR="008911F1" w:rsidRPr="007D6282">
        <w:rPr>
          <w:rStyle w:val="FootnoteReference"/>
          <w:bCs/>
          <w:sz w:val="24"/>
          <w:szCs w:val="24"/>
          <w:lang w:val="en-GB"/>
        </w:rPr>
        <w:footnoteReference w:id="5"/>
      </w:r>
      <w:r>
        <w:t>, illetve hogy ez legyen a megerősített ifjúsági garancia finanszírozási eleme</w:t>
      </w:r>
      <w:r w:rsidR="008911F1" w:rsidRPr="007D6282">
        <w:rPr>
          <w:rStyle w:val="FootnoteReference"/>
          <w:bCs/>
          <w:sz w:val="24"/>
          <w:szCs w:val="24"/>
          <w:lang w:val="en-GB"/>
        </w:rPr>
        <w:footnoteReference w:id="6"/>
      </w:r>
      <w:r>
        <w:t xml:space="preserve">. </w:t>
      </w:r>
    </w:p>
    <w:p w:rsidR="00AE28C2" w:rsidRPr="007D6282" w:rsidRDefault="00AE28C2" w:rsidP="009354A6">
      <w:pPr>
        <w:jc w:val="both"/>
        <w:rPr>
          <w:bCs/>
          <w:u w:val="single"/>
          <w:lang w:val="en-GB"/>
        </w:rPr>
      </w:pPr>
    </w:p>
    <w:p w:rsidR="006106B7" w:rsidRPr="007D6282" w:rsidRDefault="002867F1" w:rsidP="009354A6">
      <w:pPr>
        <w:jc w:val="both"/>
        <w:rPr>
          <w:bCs/>
        </w:rPr>
      </w:pPr>
      <w:r>
        <w:t xml:space="preserve">A partnerségi elv szellemében az RB előmozdíthatja a helyi és regionális önkormányzatok közötti párbeszédet az ifjúsági munkanélküliség leküzdésére irányuló koncepciók kidolgozása során – a szociális partnerekkel szorosan együttműködve –, valamint rajta keresztül a régiók és városok megoszthatják egymással az elképzeléseiket és a szakpolitikáikat. </w:t>
      </w:r>
    </w:p>
    <w:p w:rsidR="006106B7" w:rsidRPr="007D6282" w:rsidRDefault="006106B7" w:rsidP="009354A6">
      <w:pPr>
        <w:jc w:val="both"/>
        <w:rPr>
          <w:bCs/>
          <w:lang w:val="en-GB"/>
        </w:rPr>
      </w:pPr>
    </w:p>
    <w:p w:rsidR="00527019" w:rsidRPr="003814FB" w:rsidRDefault="006106B7" w:rsidP="009354A6">
      <w:pPr>
        <w:jc w:val="both"/>
      </w:pPr>
      <w:r>
        <w:t>Ezáltal az RB folyamatosan nyomon követheti az Európai Bizottság Ifjúsági foglalkoztatási támogatás: Út a munka világába a következő generációk számára</w:t>
      </w:r>
      <w:r w:rsidR="00150CCB" w:rsidRPr="007D6282">
        <w:rPr>
          <w:rStyle w:val="FootnoteReference"/>
          <w:sz w:val="24"/>
          <w:szCs w:val="24"/>
          <w:lang w:val="en-GB"/>
        </w:rPr>
        <w:footnoteReference w:id="7"/>
      </w:r>
      <w:r>
        <w:t xml:space="preserve"> című közleményében foglaltak megvalósulását, valamint további megbeszélésekre kerülhet sor a DG EMPL és az RB között. </w:t>
      </w:r>
    </w:p>
    <w:p w:rsidR="00F165DD" w:rsidRPr="007D6282" w:rsidRDefault="00F165DD">
      <w:pPr>
        <w:rPr>
          <w:bCs/>
          <w:lang w:val="en-GB"/>
        </w:rPr>
      </w:pPr>
    </w:p>
    <w:p w:rsidR="00CB78E1" w:rsidRPr="007D6282" w:rsidRDefault="00CB78E1"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2.3. </w:t>
      </w:r>
      <w:r>
        <w:rPr>
          <w:rFonts w:ascii="Times New Roman" w:hAnsi="Times New Roman"/>
          <w:b/>
          <w:sz w:val="24"/>
          <w:szCs w:val="24"/>
        </w:rPr>
        <w:tab/>
      </w:r>
      <w:r>
        <w:rPr>
          <w:rFonts w:ascii="Times New Roman" w:hAnsi="Times New Roman"/>
          <w:b/>
          <w:sz w:val="24"/>
          <w:szCs w:val="32"/>
        </w:rPr>
        <w:t xml:space="preserve">Készségfejlesztési program </w:t>
      </w:r>
    </w:p>
    <w:p w:rsidR="006106B7" w:rsidRPr="007D6282" w:rsidRDefault="006106B7" w:rsidP="007D6282">
      <w:pPr>
        <w:keepNext/>
        <w:rPr>
          <w:rFonts w:eastAsiaTheme="majorEastAsia"/>
          <w:lang w:val="en-GB"/>
        </w:rPr>
      </w:pPr>
    </w:p>
    <w:p w:rsidR="006106B7" w:rsidRPr="007D6282" w:rsidRDefault="00EE2DE9" w:rsidP="009354A6">
      <w:pPr>
        <w:jc w:val="both"/>
      </w:pPr>
      <w:r>
        <w:t>A járvány munkavégzésünkre gyakorolt hatása, illetve a kettős zöld és digitális átállás jelentős mértékben átalakítja a készségek paradigmáját az EU-ban. Ezért elengedhetetlen a fenntartható versenyképességre, a társadalmi méltányosságra és a rezilienciára vonatkozó európai készségfejlesztési programban</w:t>
      </w:r>
      <w:r w:rsidR="002867F1" w:rsidRPr="007D6282">
        <w:rPr>
          <w:rStyle w:val="FootnoteReference"/>
          <w:bCs/>
          <w:sz w:val="24"/>
          <w:szCs w:val="24"/>
          <w:lang w:val="en-GB"/>
        </w:rPr>
        <w:footnoteReference w:id="8"/>
      </w:r>
      <w:r>
        <w:t xml:space="preserve"> meghatározott készségek helyi szintű előmozdítása és összekapcsolása. A helyi szinten végzett munka maximalizálja a helyi partnerek, például a kkv-k részvételét, ugyanakkor segít jobban megérteni a helyi munkaerőpiaci igényeket és feltárni az egyéb </w:t>
      </w:r>
      <w:r>
        <w:lastRenderedPageBreak/>
        <w:t>helyi és regionális stratégiákkal fennálló közös szinergiákat. Ezenkívül a helyi és regionális perspektíva elősegítheti a minőségi előrejelzési tevékenységeket és a kvantitatív készség-előrejelzések elkészítését, amelyek később olyan készség-előrejelzési modellé vagy módszerré fejleszthetők, amelyek felhasználhatók a jövőbeli tervezéshez vagy a szakpolitikák alakításához.</w:t>
      </w:r>
    </w:p>
    <w:p w:rsidR="006106B7" w:rsidRPr="007D6282" w:rsidRDefault="006106B7">
      <w:pPr>
        <w:rPr>
          <w:bCs/>
          <w:lang w:val="en-GB"/>
        </w:rPr>
      </w:pPr>
    </w:p>
    <w:p w:rsidR="00421A56" w:rsidRPr="007D6282" w:rsidRDefault="00150CCB" w:rsidP="007D6282">
      <w:pPr>
        <w:rPr>
          <w:bCs/>
        </w:rPr>
      </w:pPr>
      <w:r>
        <w:t>További együttműködés a következő tevékenységek révén valósulhat meg:</w:t>
      </w:r>
    </w:p>
    <w:p w:rsidR="000A7400" w:rsidRPr="007D6282" w:rsidRDefault="000A7400" w:rsidP="007D6282">
      <w:pPr>
        <w:pStyle w:val="ListParagraph"/>
        <w:spacing w:after="0" w:line="288" w:lineRule="auto"/>
        <w:ind w:left="360"/>
        <w:jc w:val="both"/>
        <w:rPr>
          <w:rStyle w:val="normaltextrun"/>
        </w:rPr>
      </w:pPr>
    </w:p>
    <w:p w:rsidR="000A7400" w:rsidRPr="007D6282" w:rsidRDefault="00151730" w:rsidP="007D6282">
      <w:pPr>
        <w:pStyle w:val="ListParagraph"/>
        <w:numPr>
          <w:ilvl w:val="0"/>
          <w:numId w:val="32"/>
        </w:numPr>
        <w:spacing w:after="0" w:line="288" w:lineRule="auto"/>
        <w:jc w:val="both"/>
        <w:rPr>
          <w:rStyle w:val="normaltextrun"/>
        </w:rPr>
      </w:pPr>
      <w:r>
        <w:rPr>
          <w:rStyle w:val="normaltextrun"/>
        </w:rPr>
        <w:t>a készségfejlesztési paktum közös előmozdítása, ez ugyanis eszközül szolgálhat a régiók számára arra, hogy partnerségeket alakítsanak ki az iparral és a képzési szolgáltatókkal a helyi lakosság továbbképzése és átképzése érdekében;</w:t>
      </w:r>
    </w:p>
    <w:p w:rsidR="000A7400" w:rsidRPr="007D6282" w:rsidRDefault="000A7400" w:rsidP="007D6282">
      <w:pPr>
        <w:pStyle w:val="ListParagraph"/>
        <w:spacing w:after="0" w:line="288" w:lineRule="auto"/>
        <w:ind w:left="360"/>
        <w:jc w:val="both"/>
        <w:rPr>
          <w:rStyle w:val="normaltextrun"/>
        </w:rPr>
      </w:pPr>
    </w:p>
    <w:p w:rsidR="00421A56" w:rsidRPr="007D6282" w:rsidRDefault="000A7400" w:rsidP="007D6282">
      <w:pPr>
        <w:pStyle w:val="ListParagraph"/>
        <w:numPr>
          <w:ilvl w:val="0"/>
          <w:numId w:val="32"/>
        </w:numPr>
        <w:spacing w:after="0" w:line="288" w:lineRule="auto"/>
        <w:jc w:val="both"/>
        <w:rPr>
          <w:rStyle w:val="normaltextrun"/>
        </w:rPr>
      </w:pPr>
      <w:r>
        <w:rPr>
          <w:rStyle w:val="normaltextrun"/>
        </w:rPr>
        <w:t xml:space="preserve">a DG EMPL társszervezésében megvalósuló, a Covid19 miatt 2021 tavaszára tervezett </w:t>
      </w:r>
      <w:r>
        <w:rPr>
          <w:rStyle w:val="normaltextrun"/>
          <w:i/>
          <w:iCs/>
        </w:rPr>
        <w:t>„A régiók és városok szerepe a kiváló minőségű gyakornoki képzés biztosításában”</w:t>
      </w:r>
      <w:r>
        <w:rPr>
          <w:rStyle w:val="normaltextrun"/>
        </w:rPr>
        <w:t xml:space="preserve"> című, a gyakornoki képzésről szóló magas szintű konferencia a főkonferencia mellett az ütemterv szerint további online eseményekkel bővül:</w:t>
      </w:r>
    </w:p>
    <w:p w:rsidR="000A7400" w:rsidRPr="007D6282" w:rsidRDefault="000A7400">
      <w:pPr>
        <w:rPr>
          <w:rStyle w:val="normaltextrun"/>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4071D2">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Dátum</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rFonts w:ascii="Calibri" w:hAnsi="Calibri" w:cs="Calibri"/>
                <w:b/>
                <w:bCs/>
                <w:color w:val="FFFFFF"/>
              </w:rPr>
            </w:pPr>
            <w:r>
              <w:rPr>
                <w:b/>
                <w:bCs/>
                <w:color w:val="FFFFFF"/>
              </w:rPr>
              <w:t>Webinárium/Konferencia</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pPr>
              <w:rPr>
                <w:b/>
                <w:bCs/>
                <w:color w:val="FFFFFF"/>
              </w:rPr>
            </w:pPr>
            <w:r>
              <w:rPr>
                <w:b/>
                <w:bCs/>
                <w:color w:val="FFFFFF"/>
              </w:rPr>
              <w:t>Téma</w:t>
            </w:r>
          </w:p>
        </w:tc>
      </w:tr>
      <w:tr w:rsidR="004071D2">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2020. szeptember 29., kedd</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Első online webinárium: </w:t>
            </w:r>
            <w:r>
              <w:rPr>
                <w:i/>
                <w:iCs/>
              </w:rPr>
              <w:t>A Covid19 hatása a gyakornoki képzésre A régiók és a városok szerepe.</w:t>
            </w:r>
            <w: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Fókuszban a Covid19-re való reagálás</w:t>
            </w:r>
          </w:p>
        </w:tc>
      </w:tr>
      <w:tr w:rsidR="004071D2">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2021. január/február</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Második online webinárium: </w:t>
            </w:r>
            <w:r>
              <w:rPr>
                <w:i/>
                <w:iCs/>
              </w:rPr>
              <w:t>A kettős átállás: a városok szerepe a kiváló minőségű gyakornoki képzés biztosításában</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Fókuszban a kettős (zöld és digitális) átállás</w:t>
            </w:r>
          </w:p>
        </w:tc>
      </w:tr>
      <w:tr w:rsidR="004071D2">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2021. március/április</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Harmadik online webinárium: </w:t>
            </w:r>
            <w:r>
              <w:rPr>
                <w:i/>
                <w:iCs/>
              </w:rPr>
              <w:t>A kettős átállás: a városok szerepe a kiváló minőségű gyakornoki képzés biztosításában</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 xml:space="preserve">Fókuszban a zöld és a digitális átállás kettőse </w:t>
            </w:r>
          </w:p>
        </w:tc>
      </w:tr>
      <w:tr w:rsidR="004071D2">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2021. június 3-4. (megerősítendő)</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 xml:space="preserve">Főkonferencia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
              <w:t>megerősítendő</w:t>
            </w:r>
          </w:p>
        </w:tc>
      </w:tr>
      <w:tr w:rsidR="004071D2">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
              <w:t>megerősítendő</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(Online) nyomonkövetési megbeszélések</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
              <w:t>megerősítendő</w:t>
            </w:r>
          </w:p>
        </w:tc>
      </w:tr>
    </w:tbl>
    <w:p w:rsidR="002D435E" w:rsidRPr="007D6282" w:rsidRDefault="002D435E" w:rsidP="007D6282">
      <w:pPr>
        <w:pStyle w:val="ListParagraph"/>
        <w:spacing w:after="0" w:line="288" w:lineRule="auto"/>
        <w:ind w:left="360"/>
        <w:jc w:val="both"/>
        <w:rPr>
          <w:rStyle w:val="normaltextrun"/>
        </w:rPr>
      </w:pPr>
    </w:p>
    <w:p w:rsidR="002D435E" w:rsidRPr="009354A6" w:rsidRDefault="00151730" w:rsidP="007D6282">
      <w:pPr>
        <w:pStyle w:val="ListParagraph"/>
        <w:numPr>
          <w:ilvl w:val="0"/>
          <w:numId w:val="32"/>
        </w:numPr>
        <w:spacing w:after="0" w:line="288" w:lineRule="auto"/>
        <w:jc w:val="both"/>
        <w:rPr>
          <w:rFonts w:ascii="Times New Roman" w:hAnsi="Times New Roman" w:cs="Times New Roman"/>
        </w:rPr>
      </w:pPr>
      <w:r>
        <w:t xml:space="preserve">a </w:t>
      </w:r>
      <w:r w:rsidRPr="009354A6">
        <w:rPr>
          <w:rFonts w:ascii="Times New Roman" w:hAnsi="Times New Roman" w:cs="Times New Roman"/>
        </w:rPr>
        <w:t xml:space="preserve">fenntartható versenyképességre, a társadalmi méltányosságra és a rezilienciára vonatkozó európai készségfejlesztési programról szóló vélemény (előadó: Borboly Csaba, RO/EPP) előkészítésének részeként tovább fejlesztik az együttműködést; </w:t>
      </w:r>
    </w:p>
    <w:p w:rsidR="00F165DD" w:rsidRPr="009354A6" w:rsidRDefault="00F165DD" w:rsidP="007D6282">
      <w:pPr>
        <w:pStyle w:val="ListParagraph"/>
        <w:spacing w:after="0" w:line="288" w:lineRule="auto"/>
        <w:ind w:left="360"/>
        <w:jc w:val="both"/>
        <w:rPr>
          <w:rFonts w:ascii="Times New Roman" w:hAnsi="Times New Roman" w:cs="Times New Roman"/>
        </w:rPr>
      </w:pPr>
    </w:p>
    <w:p w:rsidR="00176CAE" w:rsidRPr="007D6282" w:rsidRDefault="00151730" w:rsidP="007D6282">
      <w:pPr>
        <w:pStyle w:val="ListParagraph"/>
        <w:numPr>
          <w:ilvl w:val="0"/>
          <w:numId w:val="32"/>
        </w:numPr>
        <w:spacing w:after="0" w:line="288" w:lineRule="auto"/>
        <w:jc w:val="both"/>
        <w:rPr>
          <w:rFonts w:ascii="Times New Roman" w:hAnsi="Times New Roman" w:cs="Times New Roman"/>
        </w:rPr>
      </w:pPr>
      <w:r w:rsidRPr="009354A6">
        <w:rPr>
          <w:rFonts w:ascii="Times New Roman" w:hAnsi="Times New Roman" w:cs="Times New Roman"/>
        </w:rPr>
        <w:t>együttműködés a Tanulószerződéses Gyakorlati Képzés Európai Szövetségével (EAfA). Az RB és az EAfA tovább tevékenykedhetne a megújult EAfA egyik prioritásával kapcsolatban, amely „A helyi és regionális önkormányzatok mozgósítása</w:t>
      </w:r>
      <w:r>
        <w:rPr>
          <w:rFonts w:ascii="Times New Roman" w:hAnsi="Times New Roman"/>
        </w:rPr>
        <w:t xml:space="preserve"> a tanulószerződéses gyakorlati képzés </w:t>
      </w:r>
      <w:r>
        <w:rPr>
          <w:rFonts w:ascii="Times New Roman" w:hAnsi="Times New Roman"/>
        </w:rPr>
        <w:lastRenderedPageBreak/>
        <w:t>katalizátoraként a helyi üzleti környezetben” címet viseli. Ennek egyik példája a „Városi hálózatok a tanulószerződéses gyakornoki képzésért” részvétele az EAfA/RB webináriumain. A hálózat egyik elsődleges célja az lesz, hogy felhívja a figyelmet a városokban a gyakornoki képzések támogatása terén rejlő potenciálra. Végül a hálózat révén a városok képesek lesznek egymástól tanulni, együttműködni, eszközöket fejleszteni, megosztani a bevált gyakorlatokat, valamint technikai és szakpolitikai segítséget nyújtani és kapni.   </w:t>
      </w:r>
    </w:p>
    <w:p w:rsidR="00C34231" w:rsidRPr="003814FB" w:rsidRDefault="00C34231">
      <w:pPr>
        <w:rPr>
          <w:rFonts w:eastAsiaTheme="majorEastAsia"/>
          <w:lang w:val="en-GB"/>
        </w:rPr>
      </w:pPr>
    </w:p>
    <w:p w:rsidR="003D64D4" w:rsidRPr="007D6282" w:rsidRDefault="00025C0A"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2.4. </w:t>
      </w:r>
      <w:r>
        <w:rPr>
          <w:rFonts w:ascii="Times New Roman" w:hAnsi="Times New Roman"/>
          <w:b/>
          <w:sz w:val="24"/>
          <w:szCs w:val="24"/>
        </w:rPr>
        <w:tab/>
      </w:r>
      <w:r>
        <w:rPr>
          <w:rFonts w:ascii="Times New Roman" w:hAnsi="Times New Roman"/>
          <w:b/>
          <w:sz w:val="24"/>
          <w:szCs w:val="32"/>
        </w:rPr>
        <w:t>Az EU által támogatott európai helyi állásbörzék koncepciója a helyi foglalkoztatás támogatása érdekében</w:t>
      </w:r>
    </w:p>
    <w:p w:rsidR="00CE5349" w:rsidRPr="007D6282" w:rsidRDefault="00CE5349">
      <w:pPr>
        <w:keepNext/>
        <w:rPr>
          <w:lang w:val="en-GB"/>
        </w:rPr>
      </w:pPr>
    </w:p>
    <w:p w:rsidR="00CC2877" w:rsidRPr="003814FB" w:rsidRDefault="00394636" w:rsidP="009354A6">
      <w:pPr>
        <w:jc w:val="both"/>
      </w:pPr>
      <w:r>
        <w:t xml:space="preserve">A munkák és a készségek összehangolása érdekében megállapodás született arról, hogy Európa-szerte megvizsgálják az európai helyi állásbörzék társszervezésének lehetőségeit. Thesszaloniki várhatóan önként vállalja, hogy megrendezi az első európai helyi állásbörzét. Ezt követően további hasonló rendezvények szerveződhetnek más uniós régiókban is. Az RB és a DG EMPL együtt fog működni a koncepcióval és a kivitelezéssel kapcsolatban, ideértve a megvalósítást, a partnereket, a finanszírozást stb., amelyekről külön kell megállapodni. </w:t>
      </w:r>
    </w:p>
    <w:p w:rsidR="00FE1A83" w:rsidRPr="003814FB" w:rsidRDefault="00FE1A83" w:rsidP="007D6282">
      <w:pPr>
        <w:rPr>
          <w:lang w:val="en-GB"/>
        </w:rPr>
      </w:pPr>
    </w:p>
    <w:p w:rsidR="00DC5206" w:rsidRPr="007D6282" w:rsidRDefault="00455FAA" w:rsidP="007D6282">
      <w:pPr>
        <w:pStyle w:val="Heading3"/>
        <w:rPr>
          <w:rFonts w:asciiTheme="majorHAnsi" w:hAnsiTheme="majorHAnsi"/>
          <w:color w:val="365F91" w:themeColor="accent1" w:themeShade="BF"/>
        </w:rPr>
      </w:pPr>
      <w:r>
        <w:rPr>
          <w:rFonts w:ascii="Times New Roman" w:hAnsi="Times New Roman"/>
          <w:b/>
          <w:sz w:val="24"/>
          <w:szCs w:val="24"/>
        </w:rPr>
        <w:t>2.4.1.</w:t>
      </w:r>
      <w:r>
        <w:rPr>
          <w:rFonts w:ascii="Times New Roman" w:hAnsi="Times New Roman"/>
          <w:b/>
          <w:sz w:val="24"/>
          <w:szCs w:val="24"/>
        </w:rPr>
        <w:tab/>
        <w:t>Mi valósult meg eddig?</w:t>
      </w:r>
    </w:p>
    <w:p w:rsidR="00CC2877" w:rsidRPr="003814FB" w:rsidRDefault="00CC2877">
      <w:pPr>
        <w:keepNext/>
        <w:rPr>
          <w:lang w:val="en-GB"/>
        </w:rPr>
      </w:pPr>
    </w:p>
    <w:p w:rsidR="00CC2877" w:rsidRPr="007D6282" w:rsidRDefault="00DF7306" w:rsidP="007D6282">
      <w:pPr>
        <w:pStyle w:val="ListParagraph"/>
        <w:numPr>
          <w:ilvl w:val="0"/>
          <w:numId w:val="35"/>
        </w:numPr>
        <w:spacing w:after="0" w:line="288" w:lineRule="auto"/>
        <w:jc w:val="both"/>
      </w:pPr>
      <w:r>
        <w:rPr>
          <w:rFonts w:ascii="Times New Roman" w:hAnsi="Times New Roman"/>
        </w:rPr>
        <w:t>Az Európai Foglalkoztatási Szolgálat (EURES) már most is rendez európai foglalkoztatási napokat, amelyek azáltal, hogy összehangolják a pályázók képességeit más tagállamok munkaadóinak az igényeivel, elősegítik a munkaerő mobilitását az EU-ban (újabb ilyen mobilitási események rendezése nem eredményezne hozzáadott értéket).</w:t>
      </w:r>
    </w:p>
    <w:p w:rsidR="00CC2877" w:rsidRPr="007D6282" w:rsidRDefault="00CC2877" w:rsidP="007D6282">
      <w:pPr>
        <w:pStyle w:val="ListParagraph"/>
        <w:spacing w:after="0" w:line="288" w:lineRule="auto"/>
        <w:ind w:left="360"/>
        <w:jc w:val="both"/>
      </w:pPr>
    </w:p>
    <w:p w:rsidR="00CC2877" w:rsidRPr="007D6282" w:rsidRDefault="00501E02" w:rsidP="007D6282">
      <w:pPr>
        <w:pStyle w:val="ListParagraph"/>
        <w:numPr>
          <w:ilvl w:val="0"/>
          <w:numId w:val="35"/>
        </w:numPr>
        <w:spacing w:after="0" w:line="288" w:lineRule="auto"/>
        <w:jc w:val="both"/>
      </w:pPr>
      <w:r>
        <w:rPr>
          <w:rFonts w:ascii="Times New Roman" w:hAnsi="Times New Roman"/>
        </w:rPr>
        <w:t>Számos uniós projekt célul tűzte ki a munkanélküliség leküzdését; és hasonló célú nemzeti programok is vannak.</w:t>
      </w:r>
    </w:p>
    <w:p w:rsidR="00CC2877" w:rsidRPr="007D6282" w:rsidRDefault="00CC2877" w:rsidP="007D6282">
      <w:pPr>
        <w:pStyle w:val="ListParagraph"/>
        <w:spacing w:after="0" w:line="288" w:lineRule="auto"/>
        <w:ind w:left="360"/>
        <w:jc w:val="both"/>
      </w:pPr>
    </w:p>
    <w:p w:rsidR="00CC2877" w:rsidRPr="007D6282" w:rsidRDefault="002867F1" w:rsidP="007D6282">
      <w:pPr>
        <w:pStyle w:val="ListParagraph"/>
        <w:numPr>
          <w:ilvl w:val="0"/>
          <w:numId w:val="35"/>
        </w:numPr>
        <w:spacing w:after="0" w:line="288" w:lineRule="auto"/>
        <w:jc w:val="both"/>
      </w:pPr>
      <w:r>
        <w:rPr>
          <w:rFonts w:ascii="Times New Roman" w:hAnsi="Times New Roman"/>
        </w:rPr>
        <w:t>Az ESZA és az ESZA+ képezik majd a helyi foglalkoztatási stratégiák finanszírozásának, valamint a képzések, a továbbképzések és az átképzések előmozdításának legfontosabb eszközét.</w:t>
      </w:r>
    </w:p>
    <w:p w:rsidR="00CC2877" w:rsidRPr="007D6282" w:rsidRDefault="00CC2877" w:rsidP="007D6282">
      <w:pPr>
        <w:pStyle w:val="ListParagraph"/>
        <w:spacing w:after="0" w:line="288" w:lineRule="auto"/>
        <w:ind w:left="360"/>
        <w:jc w:val="both"/>
      </w:pPr>
    </w:p>
    <w:p w:rsidR="00CC2877" w:rsidRPr="009354A6" w:rsidRDefault="00DF7306" w:rsidP="009354A6">
      <w:pPr>
        <w:numPr>
          <w:ilvl w:val="0"/>
          <w:numId w:val="35"/>
        </w:numPr>
        <w:jc w:val="both"/>
        <w:rPr>
          <w:rFonts w:ascii="Times New Roman" w:eastAsia="Times New Roman" w:hAnsi="Times New Roman" w:cs="Times New Roman"/>
          <w:sz w:val="24"/>
          <w:szCs w:val="24"/>
        </w:rPr>
      </w:pPr>
      <w:r w:rsidRPr="009354A6">
        <w:rPr>
          <w:rFonts w:ascii="Times New Roman" w:hAnsi="Times New Roman" w:cs="Times New Roman"/>
        </w:rPr>
        <w:t>A foglalkoztatás és a szociális innováció európai uniós programja (EaSI) (2014–2020) alapját három tengely képezi (a foglalkoztatás és a szociálpolitikák korszerűsítése, EURES: a foglalkoztatási mobilitás elősegítése, valamint mikrofinanszírozás és szociális vállalkozások, amely utóbbi tengely mikrofinanszírozást és mikrohiteleket biztosít a kiszolgáltatott csoportok és vállalkozások számára, illetve támogatja a szociális vállalkozásokat). Az InvestEU 2021-től nyújt majd hasonló lehetőségeket.</w:t>
      </w:r>
    </w:p>
    <w:p w:rsidR="00FE1A83" w:rsidRPr="007D6282" w:rsidRDefault="00FE1A83" w:rsidP="007D6282">
      <w:pPr>
        <w:rPr>
          <w:lang w:val="en-GB"/>
        </w:rPr>
      </w:pPr>
    </w:p>
    <w:p w:rsidR="00CC2877" w:rsidRPr="007D6282" w:rsidRDefault="00455FAA" w:rsidP="007D6282">
      <w:pPr>
        <w:pStyle w:val="Heading3"/>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2.4.2.</w:t>
      </w:r>
      <w:r>
        <w:rPr>
          <w:rFonts w:ascii="Times New Roman" w:hAnsi="Times New Roman"/>
          <w:b/>
          <w:sz w:val="24"/>
          <w:szCs w:val="24"/>
        </w:rPr>
        <w:tab/>
      </w:r>
      <w:r>
        <w:rPr>
          <w:rFonts w:ascii="Times New Roman" w:hAnsi="Times New Roman"/>
          <w:b/>
          <w:sz w:val="24"/>
          <w:szCs w:val="32"/>
        </w:rPr>
        <w:t>Az európai helyi állásbörzék hozzáadott értéke</w:t>
      </w:r>
    </w:p>
    <w:p w:rsidR="00CC2877" w:rsidRPr="007D6282" w:rsidRDefault="00CC2877" w:rsidP="007D6282">
      <w:pPr>
        <w:keepNext/>
        <w:rPr>
          <w:lang w:val="en-GB"/>
        </w:rPr>
      </w:pPr>
    </w:p>
    <w:p w:rsidR="00CC2877" w:rsidRPr="007D6282" w:rsidRDefault="00CC2877" w:rsidP="007D6282">
      <w:pPr>
        <w:pStyle w:val="ListParagraph"/>
        <w:spacing w:after="0" w:line="288" w:lineRule="auto"/>
        <w:ind w:left="0"/>
        <w:jc w:val="both"/>
      </w:pPr>
      <w:r>
        <w:rPr>
          <w:rFonts w:ascii="Times New Roman" w:hAnsi="Times New Roman"/>
        </w:rPr>
        <w:t>Tekintettel a már meglévő uniós és egyéb kezdeményezésekre, az európai helyi állásbörzék hozzáadott értéke a következőkben rejlik:</w:t>
      </w:r>
    </w:p>
    <w:p w:rsidR="00100433" w:rsidRPr="007D6282" w:rsidRDefault="00100433" w:rsidP="007D6282">
      <w:pPr>
        <w:pStyle w:val="ListParagraph"/>
        <w:spacing w:after="0" w:line="288" w:lineRule="auto"/>
        <w:ind w:left="0"/>
        <w:jc w:val="both"/>
      </w:pPr>
    </w:p>
    <w:p w:rsidR="00100433" w:rsidRPr="007D6282" w:rsidRDefault="00100433" w:rsidP="007D6282">
      <w:pPr>
        <w:pStyle w:val="ListParagraph"/>
        <w:numPr>
          <w:ilvl w:val="0"/>
          <w:numId w:val="35"/>
        </w:numPr>
        <w:spacing w:after="0" w:line="288" w:lineRule="auto"/>
        <w:jc w:val="both"/>
      </w:pPr>
      <w:r>
        <w:rPr>
          <w:rFonts w:ascii="Times New Roman" w:hAnsi="Times New Roman"/>
        </w:rPr>
        <w:t>bemutatja az álláskeresők számára a helyi, nemzeti és európai szinten meglévő uniós szolgáltatásokat;</w:t>
      </w:r>
    </w:p>
    <w:p w:rsidR="0002399B" w:rsidRPr="007D6282" w:rsidRDefault="0002399B" w:rsidP="007D6282">
      <w:pPr>
        <w:pStyle w:val="ListParagraph"/>
        <w:numPr>
          <w:ilvl w:val="0"/>
          <w:numId w:val="35"/>
        </w:numPr>
        <w:spacing w:after="0" w:line="288" w:lineRule="auto"/>
        <w:jc w:val="both"/>
      </w:pPr>
      <w:r>
        <w:rPr>
          <w:rFonts w:ascii="Times New Roman" w:hAnsi="Times New Roman"/>
        </w:rPr>
        <w:t>bemutatja a készségek és a foglalkoztatás helyi és európai szintű új tendenciáit;</w:t>
      </w:r>
    </w:p>
    <w:p w:rsidR="00100433" w:rsidRPr="007D6282" w:rsidRDefault="00100433" w:rsidP="007D6282">
      <w:pPr>
        <w:pStyle w:val="ListParagraph"/>
        <w:numPr>
          <w:ilvl w:val="0"/>
          <w:numId w:val="35"/>
        </w:numPr>
        <w:spacing w:after="0" w:line="288" w:lineRule="auto"/>
        <w:jc w:val="both"/>
      </w:pPr>
      <w:r>
        <w:rPr>
          <w:rFonts w:ascii="Times New Roman" w:hAnsi="Times New Roman"/>
        </w:rPr>
        <w:t>bemutatja a helyi és regionális foglalkoztatási stratégiákat támogató uniós konstrukciókat, figyelembe véve a jövőbeli ESZA-programok folyamatban lévő tevékenységeit is;</w:t>
      </w:r>
    </w:p>
    <w:p w:rsidR="00100433" w:rsidRPr="007D6282" w:rsidRDefault="00100433" w:rsidP="007D6282">
      <w:pPr>
        <w:pStyle w:val="ListParagraph"/>
        <w:numPr>
          <w:ilvl w:val="0"/>
          <w:numId w:val="35"/>
        </w:numPr>
        <w:spacing w:after="0" w:line="288" w:lineRule="auto"/>
        <w:jc w:val="both"/>
      </w:pPr>
      <w:r>
        <w:rPr>
          <w:rFonts w:ascii="Times New Roman" w:hAnsi="Times New Roman"/>
        </w:rPr>
        <w:t xml:space="preserve">bemutatja a fiatalok szemszögéből a különböző uniós politikák és programok között fennálló kapcsolatokat; </w:t>
      </w:r>
    </w:p>
    <w:p w:rsidR="00C97045" w:rsidRPr="007D6282" w:rsidRDefault="00100433" w:rsidP="007D6282">
      <w:pPr>
        <w:pStyle w:val="ListParagraph"/>
        <w:numPr>
          <w:ilvl w:val="0"/>
          <w:numId w:val="35"/>
        </w:numPr>
        <w:spacing w:after="0" w:line="288" w:lineRule="auto"/>
        <w:jc w:val="both"/>
      </w:pPr>
      <w:r>
        <w:rPr>
          <w:rFonts w:ascii="Times New Roman" w:hAnsi="Times New Roman"/>
        </w:rPr>
        <w:t>alapot biztosít az állampolgárokkal az EU szociális dimenziójáról folytatott párbeszédhez, és rávilágít arra, hogy ez mit jelent a helyi és regionális foglalkoztatás szempontjából;</w:t>
      </w:r>
    </w:p>
    <w:p w:rsidR="00100433" w:rsidRPr="007D6282" w:rsidRDefault="00C97045" w:rsidP="007D6282">
      <w:pPr>
        <w:pStyle w:val="ListParagraph"/>
        <w:numPr>
          <w:ilvl w:val="0"/>
          <w:numId w:val="35"/>
        </w:numPr>
        <w:spacing w:after="0" w:line="288" w:lineRule="auto"/>
        <w:jc w:val="both"/>
      </w:pPr>
      <w:r>
        <w:rPr>
          <w:rFonts w:ascii="Times New Roman" w:hAnsi="Times New Roman"/>
        </w:rPr>
        <w:t>támogatja a helyi igényeknek megfelelő munkahelyeket és készségeket az ilyen helyi rendezvényekre fordított uniós finanszírozások segítségével.</w:t>
      </w:r>
    </w:p>
    <w:p w:rsidR="00FE1A83" w:rsidRPr="003814FB" w:rsidRDefault="00FE1A83">
      <w:pPr>
        <w:rPr>
          <w:lang w:val="en-GB"/>
        </w:rPr>
      </w:pPr>
    </w:p>
    <w:p w:rsidR="00F165DD" w:rsidRPr="003814FB" w:rsidRDefault="001A2D75" w:rsidP="009354A6">
      <w:pPr>
        <w:jc w:val="both"/>
      </w:pPr>
      <w:r>
        <w:t>A jelenlegi helyzetben fontos, hogy ilyen börzéket szervezzünk a Covid19-világjárvány által okozott károk helyreállítására való törekvések részeként. Ezért elengedhetetlen, hogy szakpolitikai párbeszédet kezdeményezzünk a szociális partnerek vezető képviselőivel – az RB tagjainak és az EU képviselőinek bevonásával – a jelenlegi foglalkoztatási kihívások kezelésére szolgáló koncepciók és stratégiák vonatkozásában.</w:t>
      </w:r>
    </w:p>
    <w:p w:rsidR="00FE1A83" w:rsidRPr="003814FB" w:rsidRDefault="00FE1A83">
      <w:pPr>
        <w:rPr>
          <w:lang w:val="en-GB"/>
        </w:rPr>
      </w:pPr>
    </w:p>
    <w:p w:rsidR="00100433" w:rsidRPr="007D6282" w:rsidRDefault="00455FAA" w:rsidP="007D6282">
      <w:pPr>
        <w:pStyle w:val="Heading3"/>
        <w:ind w:left="709" w:hanging="709"/>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2.4.3.</w:t>
      </w:r>
      <w:r>
        <w:rPr>
          <w:rFonts w:ascii="Times New Roman" w:hAnsi="Times New Roman"/>
          <w:b/>
          <w:sz w:val="24"/>
          <w:szCs w:val="24"/>
        </w:rPr>
        <w:tab/>
      </w:r>
      <w:r>
        <w:rPr>
          <w:rFonts w:ascii="Times New Roman" w:hAnsi="Times New Roman"/>
          <w:b/>
          <w:sz w:val="24"/>
          <w:szCs w:val="32"/>
        </w:rPr>
        <w:t>Az európai helyi állásbörzék célcsoportja</w:t>
      </w:r>
    </w:p>
    <w:p w:rsidR="0002399B" w:rsidRPr="007D6282" w:rsidRDefault="0002399B">
      <w:pPr>
        <w:keepNext/>
        <w:rPr>
          <w:lang w:val="en-GB"/>
        </w:rPr>
      </w:pPr>
    </w:p>
    <w:p w:rsidR="0002399B" w:rsidRPr="007D6282" w:rsidRDefault="0002399B" w:rsidP="007D6282">
      <w:r>
        <w:t>Az európai helyi állásbörzék célcsoportját a következők képezik:</w:t>
      </w:r>
    </w:p>
    <w:p w:rsidR="0002399B" w:rsidRPr="007D6282" w:rsidRDefault="0002399B">
      <w:pPr>
        <w:rPr>
          <w:lang w:val="en-GB"/>
        </w:rPr>
      </w:pPr>
    </w:p>
    <w:p w:rsidR="0002399B" w:rsidRPr="007D6282" w:rsidRDefault="0002399B" w:rsidP="007D6282">
      <w:pPr>
        <w:pStyle w:val="ListParagraph"/>
        <w:numPr>
          <w:ilvl w:val="0"/>
          <w:numId w:val="33"/>
        </w:numPr>
        <w:spacing w:after="0" w:line="288" w:lineRule="auto"/>
        <w:ind w:left="360"/>
      </w:pPr>
      <w:r>
        <w:rPr>
          <w:rFonts w:ascii="Times New Roman" w:hAnsi="Times New Roman"/>
        </w:rPr>
        <w:t>álláskeresők, főleg hallgatók és friss diplomások,</w:t>
      </w:r>
    </w:p>
    <w:p w:rsidR="0002399B" w:rsidRPr="007D6282" w:rsidRDefault="0002399B" w:rsidP="007D6282">
      <w:pPr>
        <w:pStyle w:val="ListParagraph"/>
        <w:numPr>
          <w:ilvl w:val="0"/>
          <w:numId w:val="33"/>
        </w:numPr>
        <w:spacing w:after="0" w:line="288" w:lineRule="auto"/>
        <w:ind w:left="360"/>
      </w:pPr>
      <w:r>
        <w:rPr>
          <w:rFonts w:ascii="Times New Roman" w:hAnsi="Times New Roman"/>
        </w:rPr>
        <w:t>helyi, illetve regionális állami foglalkoztatási szolgálatok,</w:t>
      </w:r>
    </w:p>
    <w:p w:rsidR="0002399B" w:rsidRPr="007D6282" w:rsidRDefault="0002399B" w:rsidP="007D6282">
      <w:pPr>
        <w:pStyle w:val="ListParagraph"/>
        <w:numPr>
          <w:ilvl w:val="0"/>
          <w:numId w:val="33"/>
        </w:numPr>
        <w:spacing w:after="0" w:line="288" w:lineRule="auto"/>
        <w:ind w:left="360"/>
      </w:pPr>
      <w:r>
        <w:rPr>
          <w:rFonts w:ascii="Times New Roman" w:hAnsi="Times New Roman"/>
        </w:rPr>
        <w:t>képzésekkel, átképzésekkel, valamint foglalkoztatással foglalkozó szervek,</w:t>
      </w:r>
    </w:p>
    <w:p w:rsidR="0002399B" w:rsidRPr="007D6282" w:rsidRDefault="0002399B" w:rsidP="007D6282">
      <w:pPr>
        <w:pStyle w:val="ListParagraph"/>
        <w:numPr>
          <w:ilvl w:val="0"/>
          <w:numId w:val="33"/>
        </w:numPr>
        <w:spacing w:after="0" w:line="288" w:lineRule="auto"/>
        <w:ind w:left="360"/>
      </w:pPr>
      <w:r>
        <w:rPr>
          <w:rFonts w:ascii="Times New Roman" w:hAnsi="Times New Roman"/>
        </w:rPr>
        <w:t>szociális partnerek, oktatási intézmények,</w:t>
      </w:r>
    </w:p>
    <w:p w:rsidR="0002399B" w:rsidRPr="007D6282" w:rsidRDefault="0002399B" w:rsidP="007D6282">
      <w:pPr>
        <w:pStyle w:val="ListParagraph"/>
        <w:numPr>
          <w:ilvl w:val="0"/>
          <w:numId w:val="33"/>
        </w:numPr>
        <w:spacing w:after="0" w:line="288" w:lineRule="auto"/>
        <w:ind w:left="360"/>
      </w:pPr>
      <w:r>
        <w:rPr>
          <w:rFonts w:ascii="Times New Roman" w:hAnsi="Times New Roman"/>
        </w:rPr>
        <w:t>helyi, illetve regionális önkormányzatok és politikusok, valamint</w:t>
      </w:r>
    </w:p>
    <w:p w:rsidR="0002399B" w:rsidRPr="007D6282" w:rsidRDefault="0002399B" w:rsidP="007D6282">
      <w:pPr>
        <w:pStyle w:val="ListParagraph"/>
        <w:numPr>
          <w:ilvl w:val="0"/>
          <w:numId w:val="33"/>
        </w:numPr>
        <w:spacing w:after="0" w:line="288" w:lineRule="auto"/>
        <w:ind w:left="360"/>
      </w:pPr>
      <w:r>
        <w:rPr>
          <w:rFonts w:ascii="Times New Roman" w:hAnsi="Times New Roman"/>
        </w:rPr>
        <w:t>helyi, illetve regionális média.</w:t>
      </w:r>
    </w:p>
    <w:p w:rsidR="00FE1A83" w:rsidRPr="007D6282" w:rsidRDefault="00FE1A83" w:rsidP="007D6282">
      <w:pPr>
        <w:rPr>
          <w:lang w:val="en-GB"/>
        </w:rPr>
      </w:pPr>
    </w:p>
    <w:p w:rsidR="0002399B" w:rsidRPr="007D6282" w:rsidRDefault="00455FAA" w:rsidP="007D6282">
      <w:pPr>
        <w:pStyle w:val="Heading3"/>
        <w:tabs>
          <w:tab w:val="left" w:pos="567"/>
        </w:tabs>
        <w:rPr>
          <w:rFonts w:asciiTheme="majorHAnsi" w:hAnsiTheme="majorHAnsi"/>
          <w:color w:val="365F91" w:themeColor="accent1" w:themeShade="BF"/>
        </w:rPr>
      </w:pPr>
      <w:r>
        <w:rPr>
          <w:rFonts w:ascii="Times New Roman" w:hAnsi="Times New Roman"/>
          <w:b/>
          <w:sz w:val="24"/>
          <w:szCs w:val="24"/>
        </w:rPr>
        <w:t>2.4.4.</w:t>
      </w:r>
      <w:r>
        <w:rPr>
          <w:rFonts w:ascii="Times New Roman" w:hAnsi="Times New Roman"/>
          <w:b/>
          <w:sz w:val="24"/>
          <w:szCs w:val="24"/>
        </w:rPr>
        <w:tab/>
        <w:t>Lehetséges partnerek és megvalósítás</w:t>
      </w:r>
    </w:p>
    <w:p w:rsidR="0002399B" w:rsidRPr="007D6282" w:rsidRDefault="0002399B" w:rsidP="007D6282">
      <w:pPr>
        <w:keepNext/>
        <w:rPr>
          <w:lang w:val="en-GB"/>
        </w:rPr>
      </w:pPr>
    </w:p>
    <w:p w:rsidR="0002399B" w:rsidRPr="007D6282" w:rsidRDefault="00E0617C">
      <w:r>
        <w:t>Az európai helyi állásbörzék akkor lesznek igazán sikeresek, ha eleve bevonják a megfelelő partnereket, hogy azok érdemi hozzájárulást nyújthassanak. A következő partnerek vehetnek részt:</w:t>
      </w:r>
    </w:p>
    <w:p w:rsidR="0002399B" w:rsidRPr="007D6282" w:rsidRDefault="0002399B">
      <w:pPr>
        <w:rPr>
          <w:lang w:val="en-GB"/>
        </w:rPr>
      </w:pP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Helyi szinten:</w:t>
      </w:r>
      <w:r>
        <w:rPr>
          <w:rFonts w:ascii="Times New Roman" w:hAnsi="Times New Roman"/>
        </w:rPr>
        <w:t xml:space="preserve"> állami hatóságok, kereskedelmi kamarák és üzleti szövetségek, szakszervezetek, civil társadalom, iskolák, egyetemek stb.</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Regionális szinten:</w:t>
      </w:r>
      <w:r>
        <w:rPr>
          <w:rFonts w:ascii="Times New Roman" w:hAnsi="Times New Roman"/>
        </w:rPr>
        <w:t xml:space="preserve"> az ESZA irányító hatósága, foglalkoztatási szolgálatok, regionális minisztériumok, regionális üzleti szövetségek, egyetemek stb.</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lastRenderedPageBreak/>
        <w:t>Nemzeti szinten</w:t>
      </w:r>
      <w:r>
        <w:rPr>
          <w:rFonts w:ascii="Times New Roman" w:hAnsi="Times New Roman"/>
        </w:rPr>
        <w:t>: nemzeti minisztériumok, szociális ágazati szervezetek, vállalkozói szövetségek, képzési szövetségek, egyetemi szövetségek stb.</w:t>
      </w:r>
    </w:p>
    <w:p w:rsidR="00256F0C" w:rsidRPr="007D6282" w:rsidRDefault="00E0617C" w:rsidP="007D6282">
      <w:pPr>
        <w:pStyle w:val="ListParagraph"/>
        <w:numPr>
          <w:ilvl w:val="0"/>
          <w:numId w:val="40"/>
        </w:numPr>
        <w:spacing w:after="0" w:line="288" w:lineRule="auto"/>
        <w:jc w:val="both"/>
      </w:pPr>
      <w:r>
        <w:rPr>
          <w:rFonts w:ascii="Times New Roman" w:hAnsi="Times New Roman"/>
          <w:u w:val="single"/>
        </w:rPr>
        <w:t>Uniós szinten:</w:t>
      </w:r>
      <w:r>
        <w:rPr>
          <w:rFonts w:ascii="Times New Roman" w:hAnsi="Times New Roman"/>
        </w:rPr>
        <w:t xml:space="preserve"> Európai Bizottság (a DG EMPL vezetésével, egyéb felkérhető főigazgatóságok és szolgálatok, mint a DG EAC, a DG REGIO, a DG REFORM, a JRC), uniós ügynökségek (az Európai Munkaügyi Hatóság, a CEDEFOP, a EUROFOUND), RB-tagok; európai parlamenti képviselők; szociális partnerek.</w:t>
      </w:r>
    </w:p>
    <w:p w:rsidR="00FE1A83" w:rsidRPr="003814FB" w:rsidRDefault="00FE1A83">
      <w:pPr>
        <w:rPr>
          <w:lang w:val="en-GB"/>
        </w:rPr>
      </w:pPr>
    </w:p>
    <w:p w:rsidR="00834904" w:rsidRPr="003814FB" w:rsidRDefault="00834904" w:rsidP="009354A6">
      <w:pPr>
        <w:jc w:val="both"/>
      </w:pPr>
      <w:r>
        <w:t xml:space="preserve">Mivel a jelenlegi Covid19-világjárvány egyelőre lehetetlenné teszi a helyszíni állásbörzék megrendezését, érdemes fontolóra venni olyan rendezvények szervezését, mint az </w:t>
      </w:r>
      <w:hyperlink r:id="rId14" w:history="1">
        <w:r>
          <w:t>európai online foglalkoztatási napok</w:t>
        </w:r>
      </w:hyperlink>
      <w:r>
        <w:t>, az EURES illetékes nemzeti koordinációs irodájával egyetértésben és annak bevonásával.</w:t>
      </w:r>
    </w:p>
    <w:p w:rsidR="003E0FE7" w:rsidRPr="003814FB" w:rsidRDefault="003E0FE7">
      <w:pPr>
        <w:rPr>
          <w:lang w:val="en-GB"/>
        </w:rPr>
      </w:pPr>
    </w:p>
    <w:p w:rsidR="00E6624D" w:rsidRPr="003814FB" w:rsidRDefault="00E6624D">
      <w:r>
        <w:t>A szervezők és partnerek szerepét és feladatait külön megállapodásokban határozzák meg.</w:t>
      </w:r>
    </w:p>
    <w:p w:rsidR="00F165DD" w:rsidRPr="007D6282" w:rsidRDefault="00F165DD">
      <w:pPr>
        <w:rPr>
          <w:sz w:val="24"/>
          <w:lang w:val="en-GB"/>
        </w:rPr>
      </w:pPr>
    </w:p>
    <w:p w:rsidR="001A2D75" w:rsidRPr="007D6282" w:rsidRDefault="001A2D75" w:rsidP="007D6282">
      <w:pPr>
        <w:pStyle w:val="ListParagraph"/>
        <w:keepNext/>
        <w:numPr>
          <w:ilvl w:val="2"/>
          <w:numId w:val="22"/>
        </w:numPr>
        <w:spacing w:after="0" w:line="288" w:lineRule="auto"/>
        <w:rPr>
          <w:b/>
          <w:sz w:val="24"/>
        </w:rPr>
      </w:pPr>
      <w:r>
        <w:rPr>
          <w:rFonts w:ascii="Times New Roman" w:hAnsi="Times New Roman"/>
          <w:b/>
          <w:sz w:val="24"/>
        </w:rPr>
        <w:t>Pénzügyi és egyéb támogatások</w:t>
      </w:r>
    </w:p>
    <w:p w:rsidR="001A2D75" w:rsidRPr="003814FB" w:rsidRDefault="001A2D75" w:rsidP="007D6282">
      <w:pPr>
        <w:keepNext/>
        <w:rPr>
          <w:lang w:val="en-GB"/>
        </w:rPr>
      </w:pPr>
    </w:p>
    <w:p w:rsidR="006C7232" w:rsidRPr="007D6282" w:rsidRDefault="001A2D75" w:rsidP="009354A6">
      <w:pPr>
        <w:jc w:val="both"/>
      </w:pPr>
      <w:r>
        <w:t>Az RB tagjai által szervezett európai helyi állásbörzék uniós finanszírozással támogathatók. A Régiók Bizottsága és a DG EMPL közösen megvizsgálja az említett rendezvények pénzügyi támogatásának megfelelő lehetőségeit.</w:t>
      </w:r>
    </w:p>
    <w:p w:rsidR="001A2D75" w:rsidRPr="007D6282" w:rsidRDefault="001A2D75">
      <w:pPr>
        <w:rPr>
          <w:lang w:val="en-GB"/>
        </w:rPr>
      </w:pPr>
    </w:p>
    <w:p w:rsidR="001A2D75" w:rsidRPr="007D6282" w:rsidRDefault="008D4711">
      <w:r>
        <w:t>Egyéb lehetséges támogatások:</w:t>
      </w:r>
    </w:p>
    <w:p w:rsidR="001A2D75" w:rsidRPr="007D6282" w:rsidRDefault="001A2D75">
      <w:pPr>
        <w:rPr>
          <w:lang w:val="en-GB"/>
        </w:rPr>
      </w:pPr>
    </w:p>
    <w:p w:rsidR="001A2D75" w:rsidRPr="007D6282" w:rsidRDefault="001A2D75" w:rsidP="007D6282">
      <w:pPr>
        <w:pStyle w:val="ListParagraph"/>
        <w:numPr>
          <w:ilvl w:val="0"/>
          <w:numId w:val="41"/>
        </w:numPr>
        <w:spacing w:after="0" w:line="288" w:lineRule="auto"/>
        <w:jc w:val="both"/>
      </w:pPr>
      <w:r>
        <w:rPr>
          <w:rFonts w:ascii="Times New Roman" w:hAnsi="Times New Roman"/>
        </w:rPr>
        <w:t>az uniós partnerek elkötelezettsége az állásbörzéken való aktív részvétel iránt (szakértők és küldöttek delegálása révén);</w:t>
      </w:r>
    </w:p>
    <w:p w:rsidR="001A2D75" w:rsidRPr="007D6282" w:rsidRDefault="001A2D75" w:rsidP="007D6282">
      <w:pPr>
        <w:pStyle w:val="ListParagraph"/>
        <w:numPr>
          <w:ilvl w:val="0"/>
          <w:numId w:val="41"/>
        </w:numPr>
        <w:spacing w:after="0" w:line="288" w:lineRule="auto"/>
        <w:jc w:val="both"/>
      </w:pPr>
      <w:r>
        <w:rPr>
          <w:rFonts w:ascii="Times New Roman" w:hAnsi="Times New Roman"/>
        </w:rPr>
        <w:t>az uniós partnerek elkötelezettsége aziránt, hogy megfelelő tájékoztató anyagokat készítsenek az eseményre;</w:t>
      </w:r>
    </w:p>
    <w:p w:rsidR="001A2D75" w:rsidRPr="007D6282" w:rsidRDefault="001A2D75" w:rsidP="007D6282">
      <w:pPr>
        <w:pStyle w:val="ListParagraph"/>
        <w:numPr>
          <w:ilvl w:val="0"/>
          <w:numId w:val="41"/>
        </w:numPr>
        <w:spacing w:after="0" w:line="288" w:lineRule="auto"/>
        <w:jc w:val="both"/>
      </w:pPr>
      <w:r>
        <w:rPr>
          <w:rFonts w:ascii="Times New Roman" w:hAnsi="Times New Roman"/>
        </w:rPr>
        <w:t>lehetőség szerint elkötelezettség a magas szintű képviselet iránt: a biztos vagy a DG EMPL egy vezető tagja jelenléte a börzén.</w:t>
      </w:r>
    </w:p>
    <w:p w:rsidR="007A1EBE" w:rsidRPr="007D6282" w:rsidRDefault="007A1EBE" w:rsidP="007D6282">
      <w:pPr>
        <w:rPr>
          <w:lang w:val="en-GB"/>
        </w:rPr>
      </w:pPr>
    </w:p>
    <w:p w:rsidR="00E01D16" w:rsidRPr="007D6282" w:rsidRDefault="008C4469" w:rsidP="007D6282">
      <w:pPr>
        <w:pStyle w:val="Heading1"/>
        <w:spacing w:before="0"/>
        <w:ind w:left="567" w:hanging="567"/>
        <w:rPr>
          <w:b/>
          <w:sz w:val="24"/>
        </w:rPr>
      </w:pPr>
      <w:r>
        <w:rPr>
          <w:rFonts w:ascii="Times New Roman" w:hAnsi="Times New Roman"/>
          <w:b/>
          <w:color w:val="auto"/>
          <w:sz w:val="24"/>
          <w:szCs w:val="24"/>
        </w:rPr>
        <w:t xml:space="preserve">3. </w:t>
      </w:r>
      <w:r>
        <w:rPr>
          <w:rFonts w:ascii="Times New Roman" w:hAnsi="Times New Roman"/>
          <w:b/>
          <w:color w:val="auto"/>
          <w:sz w:val="24"/>
          <w:szCs w:val="24"/>
        </w:rPr>
        <w:tab/>
      </w:r>
      <w:r>
        <w:rPr>
          <w:rFonts w:ascii="Times New Roman" w:hAnsi="Times New Roman"/>
          <w:b/>
          <w:color w:val="auto"/>
          <w:sz w:val="24"/>
        </w:rPr>
        <w:t>Egyéb szakpolitikai területek és együttműködési lehetőségek</w:t>
      </w:r>
    </w:p>
    <w:p w:rsidR="00E01D16" w:rsidRPr="007D6282" w:rsidRDefault="00E01D16">
      <w:pPr>
        <w:rPr>
          <w:rFonts w:eastAsiaTheme="majorEastAsia"/>
          <w:lang w:val="en-GB"/>
        </w:rPr>
      </w:pPr>
    </w:p>
    <w:p w:rsidR="00E01D16" w:rsidRPr="007D6282" w:rsidRDefault="00E01D16" w:rsidP="007D6282">
      <w:pPr>
        <w:spacing w:after="0"/>
        <w:rPr>
          <w:bCs/>
        </w:rPr>
      </w:pPr>
      <w:r>
        <w:t xml:space="preserve">Jelenleg számos más kezdeményezés van a DG EMPL napirendjén, mint például: </w:t>
      </w:r>
    </w:p>
    <w:p w:rsidR="007A1EBE" w:rsidRPr="007D6282" w:rsidRDefault="007A1EBE" w:rsidP="007D6282">
      <w:pPr>
        <w:spacing w:after="0"/>
        <w:rPr>
          <w:bCs/>
          <w:lang w:val="en-GB"/>
        </w:rPr>
      </w:pPr>
    </w:p>
    <w:p w:rsidR="00457987" w:rsidRPr="007D6282" w:rsidRDefault="007A1EBE" w:rsidP="007D6282">
      <w:pPr>
        <w:pStyle w:val="ListParagraph"/>
        <w:numPr>
          <w:ilvl w:val="0"/>
          <w:numId w:val="33"/>
        </w:numPr>
        <w:spacing w:after="0" w:line="288" w:lineRule="auto"/>
        <w:ind w:left="360"/>
        <w:jc w:val="both"/>
      </w:pPr>
      <w:r>
        <w:rPr>
          <w:rFonts w:ascii="Times New Roman" w:hAnsi="Times New Roman"/>
        </w:rPr>
        <w:t>a szociális gazdaságról szóló, 2021-re várható cselekvési terv. Az együttműködés során olyan tevékenységi területek tárhatók fel, mint a társadalmi befogadás, a munkahelyteremtés, a gondozási ágazat (kisgyermek- és idősgondozás), egyéb szociális szolgáltatások, valamint a szociális gazdaságban folytatott szociális innováció regionális és régiók közötti szinten;</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megfelelő minimálbérek az Európai Unióban, amelyre vonatkozóan az Európai Bizottság 2020. október 28-án irányelvre tett javaslatot;</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lastRenderedPageBreak/>
        <w:t>az idénymunkások munkakörülményei, amelyekre vonatkozóan az Európai Bizottság 2020-ban iránymutatásokat adott ki;</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a demográfiai változásoknak a DG EMPL hatáskörébe tartozó szempontjai.</w:t>
      </w:r>
    </w:p>
    <w:p w:rsidR="007A1EBE" w:rsidRPr="007D6282" w:rsidRDefault="007A1EBE">
      <w:pPr>
        <w:rPr>
          <w:lang w:val="en-GB"/>
        </w:rPr>
      </w:pPr>
    </w:p>
    <w:p w:rsidR="00E01D16" w:rsidRPr="007D6282" w:rsidRDefault="00E01D16" w:rsidP="009354A6">
      <w:pPr>
        <w:jc w:val="both"/>
      </w:pPr>
      <w:r>
        <w:t>Az RB arra törekszik, hogy konzultációt folytasson a helyi és regionális önkormányzatokkal a munka ezen kulcsfontosságú területeinek támogatása érdekében. Ezenkívül az RB és a DG EMPL célja az e témákkal kapcsolatos eszmecserék fokozása.</w:t>
      </w:r>
    </w:p>
    <w:p w:rsidR="00E01D16" w:rsidRPr="007D6282" w:rsidRDefault="00E01D16">
      <w:pPr>
        <w:rPr>
          <w:lang w:val="en-GB"/>
        </w:rPr>
      </w:pPr>
    </w:p>
    <w:p w:rsidR="003E36A3" w:rsidRPr="007D6282" w:rsidRDefault="003E36A3">
      <w:r>
        <w:t>Az RB és a DG EMPL közötti fokozott együttműködés érdekében a következő további intézkedésekről lehet még rendelkezni:</w:t>
      </w:r>
    </w:p>
    <w:p w:rsidR="005B2DC3" w:rsidRPr="007D6282" w:rsidRDefault="005B2DC3">
      <w:pPr>
        <w:rPr>
          <w:lang w:val="en-GB"/>
        </w:rPr>
      </w:pP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rendszeres politikai párbeszéd az RB plenáris ülésein és a SEDEC szakbizottság ülésein;</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annak mérlegelése, hogy az RB tagjai és előadói részt vegyenek a DG EMPL által szervezett konferenciákon és rendezvényeken, ahol a helyi és regionális perspektíva hozzáadott értéket kínál;</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kérésre tájékoztatják az RB tagjait a rendelkezésre álló uniós finanszírozási forrásokról és szakpolitikai támogatásról annak bemutatása céljából, hogy az EU miként segítheti a régiókat és városokat a zöld és digitális átállás során;</w:t>
      </w:r>
    </w:p>
    <w:p w:rsidR="002E7C63" w:rsidRPr="007D6282" w:rsidRDefault="007A1EBE" w:rsidP="007D6282">
      <w:pPr>
        <w:pStyle w:val="ListParagraph"/>
        <w:numPr>
          <w:ilvl w:val="0"/>
          <w:numId w:val="17"/>
        </w:numPr>
        <w:spacing w:after="0" w:line="288" w:lineRule="auto"/>
        <w:ind w:left="357" w:hanging="357"/>
        <w:jc w:val="both"/>
      </w:pPr>
      <w:r>
        <w:rPr>
          <w:rFonts w:ascii="Times New Roman" w:hAnsi="Times New Roman"/>
        </w:rPr>
        <w:t>adott esetben közös kommunikációs intézkedések;</w:t>
      </w:r>
    </w:p>
    <w:p w:rsidR="006D7CA9" w:rsidRPr="007D6282" w:rsidRDefault="007A1EBE" w:rsidP="007D6282">
      <w:pPr>
        <w:pStyle w:val="ListParagraph"/>
        <w:numPr>
          <w:ilvl w:val="0"/>
          <w:numId w:val="17"/>
        </w:numPr>
        <w:spacing w:after="0" w:line="288" w:lineRule="auto"/>
        <w:ind w:left="357" w:hanging="357"/>
        <w:jc w:val="both"/>
      </w:pPr>
      <w:r>
        <w:rPr>
          <w:rFonts w:ascii="Times New Roman" w:hAnsi="Times New Roman"/>
        </w:rPr>
        <w:t>annak vizsgálata, hogy milyen szinergiák vannak más főigazgatóságok kezdeményezéseivel – például az ipari korszerűsítéssel foglalkozó intelligens szakosodási tematikus platform szociális gazdasággal kapcsolatos partnerségével (</w:t>
      </w:r>
      <w:hyperlink r:id="rId15" w:history="1">
        <w:r>
          <w:rPr>
            <w:rStyle w:val="Hyperlink"/>
            <w:rFonts w:ascii="Times New Roman" w:hAnsi="Times New Roman"/>
          </w:rPr>
          <w:t>https://s3platform.jrc.ec.europa.eu/social-economy</w:t>
        </w:r>
      </w:hyperlink>
      <w:r>
        <w:rPr>
          <w:rFonts w:ascii="Times New Roman" w:hAnsi="Times New Roman"/>
        </w:rPr>
        <w:t>).</w:t>
      </w:r>
    </w:p>
    <w:p w:rsidR="006D7CA9" w:rsidRPr="007D6282" w:rsidRDefault="006D7CA9">
      <w:pPr>
        <w:rPr>
          <w:lang w:val="en-GB"/>
        </w:rPr>
      </w:pPr>
    </w:p>
    <w:p w:rsidR="006D7CA9" w:rsidRPr="007D6282" w:rsidRDefault="0068468C" w:rsidP="007D6282">
      <w:pPr>
        <w:pStyle w:val="Heading1"/>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4. </w:t>
      </w:r>
      <w:r>
        <w:rPr>
          <w:rFonts w:ascii="Times New Roman" w:hAnsi="Times New Roman"/>
          <w:b/>
          <w:color w:val="000000" w:themeColor="text1"/>
          <w:sz w:val="24"/>
          <w:szCs w:val="24"/>
        </w:rPr>
        <w:tab/>
        <w:t>Következő lépések:</w:t>
      </w:r>
    </w:p>
    <w:p w:rsidR="006D7CA9" w:rsidRPr="007D6282" w:rsidRDefault="006D7CA9" w:rsidP="007D6282">
      <w:pPr>
        <w:keepNext/>
        <w:rPr>
          <w:lang w:val="en-GB"/>
        </w:rPr>
      </w:pPr>
    </w:p>
    <w:p w:rsidR="000F448C" w:rsidRPr="003814FB" w:rsidRDefault="00DC0DF4" w:rsidP="009354A6">
      <w:pPr>
        <w:jc w:val="both"/>
      </w:pPr>
      <w:r>
        <w:t>A DG EMPL és az RB egyaránt kapcsolattartó személyeket nev</w:t>
      </w:r>
      <w:bookmarkStart w:id="0" w:name="_GoBack"/>
      <w:bookmarkEnd w:id="0"/>
      <w:r>
        <w:t>ez ki annak érdekében, hogy kidolgozza az európai helyi állásbörzék koncepcióját és lebonyolításának részleteit, valamint adminisztratív szinten biztosítsa a zökkenőmentes együttműködést és koordinációt.</w:t>
      </w:r>
    </w:p>
    <w:sectPr w:rsidR="000F448C" w:rsidRPr="003814F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9354A6">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https://ec.europa.eu/commission/sites/beta-political/files/reflection-paper-social-dimension-europe_hu.pdf</w:t>
        </w:r>
      </w:hyperlink>
      <w:r>
        <w:t>.</w:t>
      </w:r>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 xml:space="preserve"> </w:t>
      </w:r>
      <w:r>
        <w:tab/>
      </w:r>
      <w:hyperlink r:id="rId2" w:history="1">
        <w:r>
          <w:rPr>
            <w:rStyle w:val="Hyperlink"/>
            <w:sz w:val="16"/>
            <w:szCs w:val="16"/>
          </w:rPr>
          <w:t>https://eur-lex.europa.eu/LexUriServ/LexUriServ.do?uri=OJ:C:2012:102:0006:0010:HU:PDF</w:t>
        </w:r>
      </w:hyperlink>
      <w:r>
        <w:t>.</w:t>
      </w:r>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Az „Ifjúsági foglalkoztatási támogatás: Út a munka világába a következő generációk számára” (COM(2020) 276 final) című közleményében az Európai Bizottság arra ösztönzi a tagállamokat, hogy fokozzák a fiatalok foglalkoztatásának támogatását, és hogy a 2014–2020 közötti finanszírozási időszakhoz képest növeljék a fiatalok foglalkoztatására szánt támogatás mértékét, amely várhatóan eléri majd a 22 milliárd EUR összeget.</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Híd a munkahelyekhez: az ifjúsági garancia megerősítése című tanácsi ajánlás politikai egyetértésre talált a Tanácson belül, és még 2020 vége előtt bevezetésre kerül.</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071D2"/>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354A6"/>
    <w:rsid w:val="009521C5"/>
    <w:rsid w:val="009556D1"/>
    <w:rsid w:val="00955CC3"/>
    <w:rsid w:val="00956A7E"/>
    <w:rsid w:val="0096073F"/>
    <w:rsid w:val="00963831"/>
    <w:rsid w:val="00963907"/>
    <w:rsid w:val="00963CAE"/>
    <w:rsid w:val="00964812"/>
    <w:rsid w:val="00966530"/>
    <w:rsid w:val="00975F99"/>
    <w:rsid w:val="00980663"/>
    <w:rsid w:val="0098457E"/>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3A8D"/>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C0FFB36"/>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hu-HU"/>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hu-HU"/>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hu-HU"/>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hu-HU"/>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hu-HU"/>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hu-HU"/>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hu-HU"/>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hu-HU"/>
    </w:rPr>
  </w:style>
  <w:style w:type="character" w:customStyle="1" w:styleId="Heading3Char">
    <w:name w:val="Heading 3 Char"/>
    <w:basedOn w:val="DefaultParagraphFont"/>
    <w:link w:val="Heading3"/>
    <w:rsid w:val="00A31CB4"/>
    <w:rPr>
      <w:lang w:val="hu-HU"/>
    </w:rPr>
  </w:style>
  <w:style w:type="character" w:customStyle="1" w:styleId="Heading4Char">
    <w:name w:val="Heading 4 Char"/>
    <w:basedOn w:val="DefaultParagraphFont"/>
    <w:link w:val="Heading4"/>
    <w:rsid w:val="00A31CB4"/>
    <w:rPr>
      <w:lang w:val="hu-HU"/>
    </w:rPr>
  </w:style>
  <w:style w:type="character" w:customStyle="1" w:styleId="Heading5Char">
    <w:name w:val="Heading 5 Char"/>
    <w:basedOn w:val="DefaultParagraphFont"/>
    <w:link w:val="Heading5"/>
    <w:rsid w:val="00A31CB4"/>
    <w:rPr>
      <w:lang w:val="hu-HU"/>
    </w:rPr>
  </w:style>
  <w:style w:type="character" w:customStyle="1" w:styleId="Heading6Char">
    <w:name w:val="Heading 6 Char"/>
    <w:basedOn w:val="DefaultParagraphFont"/>
    <w:link w:val="Heading6"/>
    <w:rsid w:val="00A31CB4"/>
    <w:rPr>
      <w:lang w:val="hu-HU"/>
    </w:rPr>
  </w:style>
  <w:style w:type="character" w:customStyle="1" w:styleId="Heading7Char">
    <w:name w:val="Heading 7 Char"/>
    <w:basedOn w:val="DefaultParagraphFont"/>
    <w:link w:val="Heading7"/>
    <w:rsid w:val="00A31CB4"/>
    <w:rPr>
      <w:lang w:val="hu-HU"/>
    </w:rPr>
  </w:style>
  <w:style w:type="character" w:customStyle="1" w:styleId="Heading8Char">
    <w:name w:val="Heading 8 Char"/>
    <w:basedOn w:val="DefaultParagraphFont"/>
    <w:link w:val="Heading8"/>
    <w:rsid w:val="00A31CB4"/>
    <w:rPr>
      <w:lang w:val="hu-HU"/>
    </w:rPr>
  </w:style>
  <w:style w:type="character" w:customStyle="1" w:styleId="Heading9Char">
    <w:name w:val="Heading 9 Char"/>
    <w:basedOn w:val="DefaultParagraphFont"/>
    <w:link w:val="Heading9"/>
    <w:rsid w:val="00A31CB4"/>
    <w:rPr>
      <w:lang w:val="hu-HU"/>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hu"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HU:PDF" TargetMode="External"/><Relationship Id="rId1" Type="http://schemas.openxmlformats.org/officeDocument/2006/relationships/hyperlink" Target="https://ec.europa.eu/commission/sites/beta-political/files/reflection-paper-social-dimension-europe_hu.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3T5AXJEHYTWU-1246943346-5754</_dlc_DocId>
    <_dlc_DocIdUrl xmlns="0b452354-65a4-4dd6-8824-e6b830247e3e">
      <Url>http://dm2016/cor/2020/_layouts/15/DocIdRedir.aspx?ID=3T5AXJEHYTWU-1246943346-5754</Url>
      <Description>3T5AXJEHYTWU-1246943346-5754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2020-11-24T12:00:00+00:00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F94876EE-5C61-4770-BAA9-F9EAB7EA48CE}"/>
</file>

<file path=customXml/itemProps2.xml><?xml version="1.0" encoding="utf-8"?>
<ds:datastoreItem xmlns:ds="http://schemas.openxmlformats.org/officeDocument/2006/customXml" ds:itemID="{F8D620E9-0EE7-4E4F-A0FB-2CC6A70DEDD2}"/>
</file>

<file path=customXml/itemProps3.xml><?xml version="1.0" encoding="utf-8"?>
<ds:datastoreItem xmlns:ds="http://schemas.openxmlformats.org/officeDocument/2006/customXml" ds:itemID="{51DE637A-D7BE-406A-BD66-A8A184A1BB3D}"/>
</file>

<file path=customXml/itemProps4.xml><?xml version="1.0" encoding="utf-8"?>
<ds:datastoreItem xmlns:ds="http://schemas.openxmlformats.org/officeDocument/2006/customXml" ds:itemID="{2A0F65D3-5AF0-4FE7-93A7-1DA000EAC5B2}"/>
</file>

<file path=docProps/app.xml><?xml version="1.0" encoding="utf-8"?>
<Properties xmlns="http://schemas.openxmlformats.org/officeDocument/2006/extended-properties" xmlns:vt="http://schemas.openxmlformats.org/officeDocument/2006/docPropsVTypes">
  <Template>Styles</Template>
  <TotalTime>35</TotalTime>
  <Pages>9</Pages>
  <Words>2915</Words>
  <Characters>16617</Characters>
  <Application>Microsoft Office Word</Application>
  <DocSecurity>0</DocSecurity>
  <Lines>138</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19494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RB - DG EMPL közös dokumentum: A megerősített együttműködés területei</dc:title>
  <dc:creator>Thomas Wobben</dc:creator>
  <cp:keywords>COR-2020-04835-00-01-TCD-TRA-EN</cp:keywords>
  <dc:description>Rapporteur:  - Original language: EN - Date of document: 24/11/2020 - Date of meeting: 25/11/2020 - External documents:  - Administrator:  PETRAS Georgios</dc:description>
  <cp:lastModifiedBy>Kliment Nora</cp:lastModifiedBy>
  <cp:revision>6</cp:revision>
  <cp:lastPrinted>2020-10-07T12:59:00Z</cp:lastPrinted>
  <dcterms:created xsi:type="dcterms:W3CDTF">2020-11-17T16:19:00Z</dcterms:created>
  <dcterms:modified xsi:type="dcterms:W3CDTF">2020-11-24T10:38:00Z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3762e3ea-9ef9-46d6-abf7-b410bb7b22e4</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FR|d2afafd3-4c81-4f60-8f52-ee33f2f54ff3;ES|e7a6b05b-ae16-40c8-add9-68b64b03aeba;FI|87606a43-d45f-42d6-b8c9-e1a3457db5b7;CS|72f9705b-0217-4fd3-bea2-cbc7ed80e26e;LT|a7ff5ce7-6123-4f68-865a-a57c31810414;PT|50ccc04a-eadd-42ae-a0cb-acaf45f812ba;HR|2f555653-ed1a-4fe6-8362-9082d95989e5;RO|feb747a2-64cd-4299-af12-4833ddc30497;MT|7df99101-6854-4a26-b53a-b88c0da02c26;NL|55c6556c-b4f4-441d-9acf-c498d4f838bd;DE|f6b31e5a-26fa-4935-b661-318e46daf27e;DA|5d49c027-8956-412b-aa16-e85a0f96ad0e;SL|98a412ae-eb01-49e9-ae3d-585a81724cfc;PL|1e03da61-4678-4e07-b136-b5024ca9197b;BG|1a1b3951-7821-4e6a-85f5-5673fc08bd2c;SV|c2ed69e7-a339-43d7-8f22-d93680a92aa0;ET|ff6c3f4c-b02c-4c3c-ab07-2c37995a7a0a;IT|0774613c-01ed-4e5d-a25d-11d2388de825;SK|46d9fce0-ef79-4f71-b89b-cd6aa82426b8;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38;#RO|feb747a2-64cd-4299-af12-4833ddc30497;#37;#BG|1a1b3951-7821-4e6a-85f5-5673fc08bd2c;#36;#FI|87606a43-d45f-42d6-b8c9-e1a3457db5b7;#35;#PT|50ccc04a-eadd-42ae-a0cb-acaf45f812ba;#34;#CS|72f9705b-0217-4fd3-bea2-cbc7ed80e26e;#31;#LV|46f7e311-5d9f-4663-b433-18aeccb7ace7;#30;#DA|5d49c027-8956-412b-aa16-e85a0f96ad0e;#29;#SV|c2ed69e7-a339-43d7-8f22-d93680a92aa0;#26;#SL|98a412ae-eb01-49e9-ae3d-585a81724cfc;#25;#ET|ff6c3f4c-b02c-4c3c-ab07-2c37995a7a0a;#23;#DE|f6b31e5a-26fa-4935-b661-318e46daf27e;#22;#TCD|cd9d6eb6-3f4f-424a-b2d1-57c9d450eaaf;#19;#LT|a7ff5ce7-6123-4f68-865a-a57c31810414;#18;#NL|55c6556c-b4f4-441d-9acf-c498d4f838bd;#17;#PL|1e03da61-4678-4e07-b136-b5024ca9197b;#16;#ES|e7a6b05b-ae16-40c8-add9-68b64b03aeba;#15;#SK|46d9fce0-ef79-4f71-b89b-cd6aa82426b8;#14;#MT|7df99101-6854-4a26-b53a-b88c0da02c26;#13;#HR|2f555653-ed1a-4fe6-8362-9082d95989e5;#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27;#HU|6b229040-c589-4408-b4c1-4285663d20a8</vt:lpwstr>
  </property>
</Properties>
</file>