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151730">
      <w:pPr>
        <w:rPr>
          <w:b/>
          <w:sz w:val="36"/>
          <w:szCs w:val="36"/>
          <w:u w:val="single"/>
        </w:rPr>
      </w:pPr>
      <w:r>
        <w:rPr>
          <w:noProof/>
          <w:lang w:val="en-US"/>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476D" w:rsidRPr="00E32B8D">
        <w:rPr>
          <w:noProof/>
          <w:lang w:val="en-US"/>
        </w:rPr>
        <w:drawing>
          <wp:inline distT="0" distB="0" distL="0" distR="0" wp14:anchorId="62D89114" wp14:editId="29429E88">
            <wp:extent cx="1800000" cy="1558636"/>
            <wp:effectExtent l="0" t="0" r="0" b="3810"/>
            <wp:docPr id="21" name="Picture 21" descr="C:\Users\mreg\Music\New LOGO CoR\Logo\logo_CoR-vertical-positive-lt-quadri_MR.jpg" title="CoRLogo_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lt-quadri_M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p>
    <w:p w:rsidR="00B87B5D" w:rsidRPr="003814FB" w:rsidRDefault="00C82EBC">
      <w:pPr>
        <w:jc w:val="center"/>
        <w:rPr>
          <w:b/>
          <w:sz w:val="36"/>
          <w:szCs w:val="36"/>
          <w:u w:val="single"/>
        </w:rPr>
      </w:pPr>
      <w:r>
        <w:rPr>
          <w:b/>
          <w:noProof/>
          <w:sz w:val="20"/>
          <w:szCs w:val="36"/>
          <w:u w:val="single"/>
          <w:lang w:val="en-US"/>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LT</w:t>
                      </w:r>
                    </w:p>
                  </w:txbxContent>
                </v:textbox>
                <w10:wrap anchorx="page" anchory="page"/>
              </v:shape>
            </w:pict>
          </mc:Fallback>
        </mc:AlternateContent>
      </w:r>
    </w:p>
    <w:p w:rsidR="0072285A" w:rsidRPr="003814FB" w:rsidRDefault="00C34231">
      <w:pPr>
        <w:jc w:val="center"/>
        <w:rPr>
          <w:b/>
          <w:sz w:val="36"/>
          <w:u w:val="single"/>
        </w:rPr>
      </w:pPr>
      <w:bookmarkStart w:id="0" w:name="_GoBack"/>
      <w:r>
        <w:rPr>
          <w:b/>
          <w:sz w:val="36"/>
          <w:u w:val="single"/>
        </w:rPr>
        <w:t>Europos regionų komiteto (RK) ir Europos Komisijos Užimtumo, socialinių reikalų ir įtraukties generalinio direktorato (EMPL GD)</w:t>
      </w:r>
      <w:r>
        <w:rPr>
          <w:b/>
          <w:sz w:val="36"/>
          <w:u w:val="single"/>
        </w:rPr>
        <w:br/>
        <w:t>tvirtesnio bendradarbiavimo sritys</w:t>
      </w:r>
      <w:bookmarkEnd w:id="0"/>
    </w:p>
    <w:p w:rsidR="001C24E4" w:rsidRPr="003814FB" w:rsidRDefault="001C24E4">
      <w:pPr>
        <w:jc w:val="center"/>
        <w:rPr>
          <w:b/>
          <w:sz w:val="36"/>
          <w:szCs w:val="36"/>
          <w:u w:val="single"/>
          <w:lang w:val="en-GB"/>
        </w:rPr>
      </w:pPr>
    </w:p>
    <w:p w:rsidR="009521C5" w:rsidRPr="007D6282" w:rsidRDefault="009521C5" w:rsidP="007D6282">
      <w:pPr>
        <w:pStyle w:val="Heading1"/>
        <w:numPr>
          <w:ilvl w:val="0"/>
          <w:numId w:val="22"/>
        </w:numPr>
        <w:ind w:left="567" w:hanging="567"/>
        <w:rPr>
          <w:rFonts w:ascii="Times New Roman" w:hAnsi="Times New Roman"/>
          <w:b/>
          <w:color w:val="auto"/>
          <w:sz w:val="24"/>
        </w:rPr>
      </w:pPr>
      <w:r>
        <w:rPr>
          <w:rFonts w:ascii="Times New Roman" w:hAnsi="Times New Roman"/>
          <w:b/>
          <w:color w:val="auto"/>
          <w:sz w:val="24"/>
        </w:rPr>
        <w:t>Įžanga</w:t>
      </w:r>
    </w:p>
    <w:p w:rsidR="00014693" w:rsidRPr="007D6282" w:rsidRDefault="00014693">
      <w:pPr>
        <w:rPr>
          <w:sz w:val="24"/>
          <w:szCs w:val="24"/>
          <w:lang w:val="en-GB"/>
        </w:rPr>
      </w:pPr>
    </w:p>
    <w:p w:rsidR="00014E6A" w:rsidRPr="00DE351D" w:rsidRDefault="00C82EBC">
      <w:pPr>
        <w:rPr>
          <w:rFonts w:cstheme="minorHAnsi"/>
          <w:color w:val="000000"/>
        </w:rPr>
      </w:pPr>
      <w:r w:rsidRPr="00DE351D">
        <w:rPr>
          <w:rFonts w:cstheme="minorHAnsi"/>
        </w:rPr>
        <w:t>Dar iki COVID-19 krizės buvo aišku, kad „socialinė Europa“ yra labai svarbi ES indėliui į demokratinę, darnią, daugiakultūrę ir klestinčią visuomenę. Ji padeda siekti ekonominės ir socialinės pažangos, kovoti su diskriminacija ir socialine atskirtimi, užtikrinti, kad europiečiai būtų tinkamai pasirengę darbo rinkai ir galėtų gyventi visavertį gyvenimą</w:t>
      </w:r>
      <w:r w:rsidR="00014E6A" w:rsidRPr="00DE351D">
        <w:rPr>
          <w:rStyle w:val="FootnoteReference"/>
          <w:rFonts w:cstheme="minorHAnsi"/>
          <w:lang w:val="en-GB"/>
        </w:rPr>
        <w:footnoteReference w:id="2"/>
      </w:r>
      <w:r w:rsidRPr="00DE351D">
        <w:rPr>
          <w:rFonts w:cstheme="minorHAnsi"/>
        </w:rPr>
        <w:t xml:space="preserve">. </w:t>
      </w:r>
    </w:p>
    <w:p w:rsidR="00014E6A" w:rsidRPr="00DE351D" w:rsidRDefault="00014E6A">
      <w:pPr>
        <w:rPr>
          <w:rFonts w:cstheme="minorHAnsi"/>
          <w:color w:val="000000"/>
          <w:lang w:val="en-GB"/>
        </w:rPr>
      </w:pPr>
    </w:p>
    <w:p w:rsidR="00014E6A" w:rsidRPr="00DE351D" w:rsidRDefault="00014E6A" w:rsidP="005D5EB3">
      <w:pPr>
        <w:jc w:val="both"/>
        <w:rPr>
          <w:rFonts w:cstheme="minorHAnsi"/>
        </w:rPr>
      </w:pPr>
      <w:r w:rsidRPr="00DE351D">
        <w:rPr>
          <w:rFonts w:cstheme="minorHAnsi"/>
        </w:rPr>
        <w:t xml:space="preserve">Nors Europos regionų komitetas (RK) ir Užimtumo, socialinių reikalų ir įtraukties generalinis direktoratas (EMPL GD) anksčiau bendradarbiavo keliose srityse, vis dėlto yra akivaizdu, kad būsimi iššūkiai ir didelis atsakingo Komisijos nario suinteresuotumas suteikia galimybę Komisijai ir RK šioje srityje bendradarbiauti nauju lygmeniu. </w:t>
      </w:r>
    </w:p>
    <w:p w:rsidR="00014E6A" w:rsidRPr="00DE351D" w:rsidRDefault="00014E6A">
      <w:pPr>
        <w:rPr>
          <w:rFonts w:cstheme="minorHAnsi"/>
          <w:lang w:val="en-GB"/>
        </w:rPr>
      </w:pPr>
    </w:p>
    <w:p w:rsidR="00014E6A" w:rsidRPr="00DE351D" w:rsidRDefault="00014E6A" w:rsidP="007D6282">
      <w:pPr>
        <w:pStyle w:val="ListParagraph"/>
        <w:numPr>
          <w:ilvl w:val="0"/>
          <w:numId w:val="26"/>
        </w:numPr>
        <w:ind w:left="360"/>
        <w:jc w:val="both"/>
        <w:rPr>
          <w:rFonts w:asciiTheme="minorHAnsi" w:hAnsiTheme="minorHAnsi" w:cstheme="minorHAnsi"/>
        </w:rPr>
      </w:pPr>
      <w:r w:rsidRPr="00DE351D">
        <w:rPr>
          <w:rFonts w:asciiTheme="minorHAnsi" w:hAnsiTheme="minorHAnsi" w:cstheme="minorHAnsi"/>
        </w:rPr>
        <w:t xml:space="preserve">Komisijos narys Nicolas Schmit, kuris per mažiau kaip vienų metų laikotarpį jau sudalyvavo dviejose plenarinėse sesijose ir Socialinės politikos, švietimo, užimtumo, mokslinių tyrimų ir kultūros komisijos (SEDEC) posėdyje, parodė didelį susidomėjimą RK darbu. </w:t>
      </w:r>
    </w:p>
    <w:p w:rsidR="00164C40" w:rsidRPr="00DE351D" w:rsidRDefault="00164C40" w:rsidP="007D6282">
      <w:pPr>
        <w:pStyle w:val="ListParagraph"/>
        <w:numPr>
          <w:ilvl w:val="0"/>
          <w:numId w:val="26"/>
        </w:numPr>
        <w:ind w:left="360"/>
        <w:jc w:val="both"/>
        <w:rPr>
          <w:rFonts w:asciiTheme="minorHAnsi" w:hAnsiTheme="minorHAnsi" w:cstheme="minorHAnsi"/>
        </w:rPr>
      </w:pPr>
      <w:r w:rsidRPr="00DE351D">
        <w:rPr>
          <w:rFonts w:asciiTheme="minorHAnsi" w:hAnsiTheme="minorHAnsi" w:cstheme="minorHAnsi"/>
        </w:rPr>
        <w:t>2020 m. vasario mėn. Joost Korte (Užimtumo, socialinių reikalų ir įtraukties GD generalinis direktorius) dalyvavo SEDEC komisijos posėdyje, kuriame pasakė kalbą, ragindamas RK narius pateikti grįžtamąją informaciją, kaip to prašoma Komisijos komunikate „Tvirta socialinė Europa teisingai pertvarkai užtikrinti“ (SEDEC komisija jau rengia nuomonę šiuo klausimu).</w:t>
      </w:r>
    </w:p>
    <w:p w:rsidR="00164C40" w:rsidRPr="00DE351D" w:rsidRDefault="00164C40" w:rsidP="007D6282">
      <w:pPr>
        <w:pStyle w:val="ListParagraph"/>
        <w:numPr>
          <w:ilvl w:val="0"/>
          <w:numId w:val="26"/>
        </w:numPr>
        <w:ind w:left="360"/>
        <w:jc w:val="both"/>
        <w:rPr>
          <w:rFonts w:asciiTheme="minorHAnsi" w:hAnsiTheme="minorHAnsi" w:cstheme="minorHAnsi"/>
        </w:rPr>
      </w:pPr>
      <w:r w:rsidRPr="00DE351D">
        <w:rPr>
          <w:rFonts w:asciiTheme="minorHAnsi" w:hAnsiTheme="minorHAnsi" w:cstheme="minorHAnsi"/>
        </w:rPr>
        <w:lastRenderedPageBreak/>
        <w:t>Tiek Komisijos narys, tiek generalinis direktorius aiškiai nurodė, kad tikisi, jog RK aktyviai dalyvaus rengiantis Porto socialinių reikalų aukščiausiojo lygio susitikimui (2021 m. gegužės mėn.) ir teikiant Europos socialinių teisių ramsčio (ESTR) įgyvendinimo veiksmų planą.</w:t>
      </w:r>
    </w:p>
    <w:p w:rsidR="006A6308" w:rsidRPr="00DE351D" w:rsidRDefault="006A6308" w:rsidP="007D6282">
      <w:pPr>
        <w:pStyle w:val="ListParagraph"/>
        <w:numPr>
          <w:ilvl w:val="0"/>
          <w:numId w:val="26"/>
        </w:numPr>
        <w:ind w:left="360"/>
        <w:jc w:val="both"/>
        <w:rPr>
          <w:rFonts w:asciiTheme="minorHAnsi" w:hAnsiTheme="minorHAnsi" w:cstheme="minorHAnsi"/>
        </w:rPr>
      </w:pPr>
      <w:r w:rsidRPr="00DE351D">
        <w:rPr>
          <w:rFonts w:asciiTheme="minorHAnsi" w:hAnsiTheme="minorHAnsi" w:cstheme="minorHAnsi"/>
        </w:rPr>
        <w:t>Abipusis bendradarbiavimas buvo ir toliau skatinamas Komisijos nario ir RK pirmininko susitikime (liepos 9 d.), kuriame buvo patvirtinta, kad abi institucijos turėtų rasti daugiau bendradarbiavimo galimybių.</w:t>
      </w:r>
    </w:p>
    <w:p w:rsidR="00864E4E" w:rsidRPr="00DE351D" w:rsidRDefault="00864E4E" w:rsidP="005D5EB3">
      <w:pPr>
        <w:jc w:val="both"/>
        <w:rPr>
          <w:rFonts w:cstheme="minorHAnsi"/>
        </w:rPr>
      </w:pPr>
      <w:r w:rsidRPr="00DE351D">
        <w:rPr>
          <w:rFonts w:cstheme="minorHAnsi"/>
        </w:rPr>
        <w:t>Europos Komisijos ir Regionų komiteto bendradarbiavimo protokole (2012/C 102/02)</w:t>
      </w:r>
      <w:r w:rsidRPr="00DE351D">
        <w:rPr>
          <w:rFonts w:cstheme="minorHAnsi"/>
          <w:lang w:val="en-GB"/>
        </w:rPr>
        <w:footnoteReference w:id="3"/>
      </w:r>
      <w:r w:rsidRPr="00DE351D">
        <w:rPr>
          <w:rFonts w:cstheme="minorHAnsi"/>
        </w:rPr>
        <w:t xml:space="preserve"> Komisija ir RK</w:t>
      </w:r>
      <w:r w:rsidR="00DE351D">
        <w:rPr>
          <w:rFonts w:cstheme="minorHAnsi"/>
        </w:rPr>
        <w:t> </w:t>
      </w:r>
      <w:r w:rsidRPr="00DE351D">
        <w:rPr>
          <w:rFonts w:cstheme="minorHAnsi"/>
        </w:rPr>
        <w:t>susitarė bendradarbiauti intensyviau. Šiame bendrame RK ir Užimtumo, socialinių reikalų ir įtraukties GD pranešime nustatomos intensyvesnio bendradarbiavimo politikos sritys ir pagrindinės priemonės.</w:t>
      </w:r>
    </w:p>
    <w:p w:rsidR="003D208F" w:rsidRPr="00DE351D" w:rsidRDefault="003D208F">
      <w:pPr>
        <w:rPr>
          <w:rFonts w:cstheme="minorHAnsi"/>
          <w:lang w:val="en-GB"/>
        </w:rPr>
      </w:pPr>
    </w:p>
    <w:p w:rsidR="00EB524C" w:rsidRPr="00DE351D" w:rsidRDefault="00EA2779" w:rsidP="007D6282">
      <w:pPr>
        <w:pStyle w:val="Heading1"/>
        <w:numPr>
          <w:ilvl w:val="0"/>
          <w:numId w:val="22"/>
        </w:numPr>
        <w:spacing w:before="0"/>
        <w:ind w:left="567" w:hanging="567"/>
        <w:rPr>
          <w:rFonts w:asciiTheme="minorHAnsi" w:hAnsiTheme="minorHAnsi" w:cstheme="minorHAnsi"/>
          <w:b/>
          <w:color w:val="auto"/>
          <w:sz w:val="24"/>
        </w:rPr>
      </w:pPr>
      <w:r w:rsidRPr="00DE351D">
        <w:rPr>
          <w:rFonts w:asciiTheme="minorHAnsi" w:hAnsiTheme="minorHAnsi" w:cstheme="minorHAnsi"/>
          <w:b/>
          <w:color w:val="auto"/>
          <w:sz w:val="24"/>
        </w:rPr>
        <w:t>Pagrindinės temos tvirtesniam RK ir Užimtumo, socialinių reikalų ir įtraukties GD bendradarbiavimui užtikrinti</w:t>
      </w:r>
    </w:p>
    <w:p w:rsidR="004D765D" w:rsidRPr="00DE351D" w:rsidRDefault="004D765D" w:rsidP="007D6282">
      <w:pPr>
        <w:keepNext/>
        <w:rPr>
          <w:rFonts w:cstheme="minorHAnsi"/>
          <w:lang w:val="en-GB"/>
        </w:rPr>
      </w:pPr>
    </w:p>
    <w:p w:rsidR="00964812" w:rsidRPr="00DE351D" w:rsidRDefault="008E118B">
      <w:pPr>
        <w:rPr>
          <w:rFonts w:cstheme="minorHAnsi"/>
        </w:rPr>
      </w:pPr>
      <w:r w:rsidRPr="00DE351D">
        <w:rPr>
          <w:rFonts w:cstheme="minorHAnsi"/>
        </w:rPr>
        <w:t>Atsižvelgiant į platų su socialiniu aspektu susijusių temų spektrą ir turimus išteklius, svarbu intensyvesnį bendradarbiavimą sutelkti tose srityse, kuriose RK gali suteikti aiškios pridėtinės vertės ir kuriose teritorinis aspektas yra stipriausias. Neužkertant kelio bendradarbiavimui kitose srityse, visų pirma socialinės ekonomikos skatinimo srityje, tvirtesnio bendradarbiavimo sritys yra šios:</w:t>
      </w:r>
    </w:p>
    <w:p w:rsidR="003D208F" w:rsidRPr="00DE351D" w:rsidRDefault="003D208F">
      <w:pPr>
        <w:rPr>
          <w:rFonts w:cstheme="minorHAnsi"/>
          <w:lang w:val="en-GB"/>
        </w:rPr>
      </w:pPr>
    </w:p>
    <w:p w:rsidR="00EA2779" w:rsidRPr="00DE351D" w:rsidRDefault="00EA2779" w:rsidP="007D6282">
      <w:pPr>
        <w:pStyle w:val="Heading2"/>
        <w:rPr>
          <w:rFonts w:cstheme="minorHAnsi"/>
          <w:color w:val="365F91" w:themeColor="accent1" w:themeShade="BF"/>
        </w:rPr>
      </w:pPr>
      <w:r w:rsidRPr="00DE351D">
        <w:rPr>
          <w:rFonts w:cstheme="minorHAnsi"/>
          <w:b/>
          <w:sz w:val="24"/>
          <w:szCs w:val="24"/>
        </w:rPr>
        <w:t>2.1.</w:t>
      </w:r>
      <w:r w:rsidRPr="00DE351D">
        <w:rPr>
          <w:rFonts w:cstheme="minorHAnsi"/>
        </w:rPr>
        <w:tab/>
      </w:r>
      <w:r w:rsidRPr="00DE351D">
        <w:rPr>
          <w:rFonts w:cstheme="minorHAnsi"/>
          <w:b/>
          <w:sz w:val="24"/>
          <w:szCs w:val="32"/>
        </w:rPr>
        <w:t>Europos socialinių teisių ramstis</w:t>
      </w:r>
    </w:p>
    <w:p w:rsidR="00EA2779" w:rsidRPr="00DE351D" w:rsidRDefault="00EA2779" w:rsidP="007D6282">
      <w:pPr>
        <w:rPr>
          <w:rFonts w:cstheme="minorHAnsi"/>
          <w:b/>
          <w:u w:val="single"/>
          <w:lang w:val="en-GB"/>
        </w:rPr>
      </w:pPr>
    </w:p>
    <w:p w:rsidR="005366D6" w:rsidRPr="00DE351D" w:rsidRDefault="005366D6" w:rsidP="007D6282">
      <w:pPr>
        <w:rPr>
          <w:rFonts w:cstheme="minorHAnsi"/>
          <w:szCs w:val="24"/>
        </w:rPr>
      </w:pPr>
      <w:r w:rsidRPr="00DE351D">
        <w:rPr>
          <w:rFonts w:cstheme="minorHAnsi"/>
        </w:rPr>
        <w:t>Europos socialinių teisių ramstis yra bendro sutarimo dokumentas, kuriame atsižvelgiama į tai, kokios pozicijos Sąjunga laikosi užimtumo ir socialinių reikalų srityje.</w:t>
      </w:r>
      <w:r w:rsidRPr="00DE351D">
        <w:rPr>
          <w:rFonts w:cstheme="minorHAnsi"/>
          <w:i/>
          <w:szCs w:val="24"/>
        </w:rPr>
        <w:t xml:space="preserve"> </w:t>
      </w:r>
      <w:r w:rsidRPr="00DE351D">
        <w:rPr>
          <w:rFonts w:cstheme="minorHAnsi"/>
        </w:rPr>
        <w:t>Jis paskelbtas aukščiausiu politiniu lygmeniu ir dėl jo jau imtasi plataus užmojo priemonių ES, nacionaliniu, regioniniu ir vietos lygmenimis, kuriomis stiprinamas ES socialinis aspektas. 2020 m. gegužės 27 d. komunikatu Komisija savo veiksmų plane, skirtame teisingam ir įtraukiam atsigavimui po COVID-19 krizės, taip pat daugiausiai dėmesio skiria Europos socialinių teisių ramsčiui.</w:t>
      </w:r>
    </w:p>
    <w:p w:rsidR="005366D6" w:rsidRPr="00DE351D" w:rsidRDefault="005366D6">
      <w:pPr>
        <w:rPr>
          <w:rFonts w:cstheme="minorHAnsi"/>
          <w:szCs w:val="24"/>
          <w:lang w:val="en-GB" w:eastAsia="fr-BE"/>
        </w:rPr>
      </w:pPr>
    </w:p>
    <w:p w:rsidR="005366D6" w:rsidRPr="00DE351D" w:rsidRDefault="005366D6">
      <w:pPr>
        <w:rPr>
          <w:rFonts w:cstheme="minorHAnsi"/>
          <w:szCs w:val="24"/>
        </w:rPr>
      </w:pPr>
      <w:r w:rsidRPr="00DE351D">
        <w:rPr>
          <w:rFonts w:cstheme="minorHAnsi"/>
        </w:rPr>
        <w:t xml:space="preserve">2019–2024 m. strateginėje darbotvarkėje, dėl kurios 2019 m. birželio mėn. susitarė Europos Vadovų Taryba, raginama ramstį įgyvendinti ES ir valstybių narių lygmeniu, deramai atsižvelgiant į atitinkamas kompetencijas. </w:t>
      </w:r>
    </w:p>
    <w:p w:rsidR="003D208F" w:rsidRPr="00DE351D" w:rsidRDefault="003D208F">
      <w:pPr>
        <w:rPr>
          <w:rFonts w:cstheme="minorHAnsi"/>
          <w:szCs w:val="24"/>
          <w:lang w:val="en-GB" w:eastAsia="en-GB"/>
        </w:rPr>
      </w:pPr>
    </w:p>
    <w:p w:rsidR="005366D6" w:rsidRPr="00DE351D" w:rsidRDefault="005366D6">
      <w:pPr>
        <w:rPr>
          <w:rFonts w:cstheme="minorHAnsi"/>
          <w:szCs w:val="24"/>
        </w:rPr>
      </w:pPr>
      <w:r w:rsidRPr="00DE351D">
        <w:rPr>
          <w:rFonts w:cstheme="minorHAnsi"/>
        </w:rPr>
        <w:t xml:space="preserve">Komisijos pirmininkės U. von der Leyen Komisijos politinėse gairėse įsipareigojama pateikti visapusiško Europos socialinių teisių ramsčio įgyvendinimo veiksmų planą. 2020 m. sausio 14 d. Komisijos komunikate „Tvirta socialinė Europa teisingai pertvarkai užtikrinti“ išdėstyti keli </w:t>
      </w:r>
      <w:r w:rsidRPr="00DE351D">
        <w:rPr>
          <w:rFonts w:cstheme="minorHAnsi"/>
        </w:rPr>
        <w:lastRenderedPageBreak/>
        <w:t>pagrindiniai 2020 m. ir 2021 m. veiksmai ir pradėtas plataus masto konsultacijų ir dalyvavimo procesas, kuriuo bus remiamasi rengiant veiksmų planą. Tebevykstančios COVID-19 pandemijos metu socialinės paramos ir apsaugos poreikis yra dar didesnis, nes valstybių narių socialinės paramos sistemos patiria didžiulį spaudimą, o ES socialinei struktūrai gresia skilimas.</w:t>
      </w:r>
    </w:p>
    <w:p w:rsidR="005366D6" w:rsidRPr="00DE351D" w:rsidRDefault="005366D6">
      <w:pPr>
        <w:rPr>
          <w:rFonts w:cstheme="minorHAnsi"/>
          <w:szCs w:val="24"/>
          <w:lang w:val="en-GB" w:eastAsia="en-GB"/>
        </w:rPr>
      </w:pPr>
    </w:p>
    <w:p w:rsidR="005366D6" w:rsidRPr="00DE351D" w:rsidRDefault="005366D6">
      <w:pPr>
        <w:autoSpaceDE w:val="0"/>
        <w:autoSpaceDN w:val="0"/>
        <w:adjustRightInd w:val="0"/>
        <w:rPr>
          <w:rFonts w:cstheme="minorHAnsi"/>
          <w:szCs w:val="24"/>
        </w:rPr>
      </w:pPr>
      <w:r w:rsidRPr="00DE351D">
        <w:rPr>
          <w:rFonts w:cstheme="minorHAnsi"/>
        </w:rPr>
        <w:t xml:space="preserve">Komisijos tikslas – 2021 m. pradžioje pateikti veiksmų planą ir siekti jį patvirtinti aukščiausiu politiniu lygmeniu socialinių reikalų aukščiausiojo lygio susitikime, kurį 2021 m. gegužės mėn. surengs Tarybai pirmininkausianti Portugalija. </w:t>
      </w:r>
    </w:p>
    <w:p w:rsidR="00CE0C02" w:rsidRPr="00DE351D" w:rsidRDefault="00CE0C02">
      <w:pPr>
        <w:rPr>
          <w:rFonts w:cstheme="minorHAnsi"/>
          <w:bCs/>
          <w:u w:val="single"/>
          <w:lang w:val="en-GB"/>
        </w:rPr>
      </w:pPr>
    </w:p>
    <w:p w:rsidR="00EA2779" w:rsidRPr="00DE351D" w:rsidRDefault="00B40809" w:rsidP="007D6282">
      <w:pPr>
        <w:rPr>
          <w:rFonts w:cstheme="minorHAnsi"/>
          <w:bCs/>
        </w:rPr>
      </w:pPr>
      <w:r w:rsidRPr="00DE351D">
        <w:rPr>
          <w:rFonts w:cstheme="minorHAnsi"/>
        </w:rPr>
        <w:t>Akivaizdu, kad vietos ir regionų valdžios institucijoms tenka svarbus vaidmuo formuojant ir įgyvendinant užimtumo ir socialinę politiką ES. COVID-19 krizės poveikis regionams yra labai skirtingas, priklausomai nuo jų ekonominės struktūros ir poveikio sveikatai. Vietos ir regionų valdžios institucijos gali padėti rengti ir įgyvendinti atsaką į krizę, kuriuo būtų sprendžiamos prieš krizę buvusios ir po jos kylančios socialinės ir teritorinės sanglaudos problemos. Todėl būtina įtraukti vietos ir regionų valdžios institucijas, visų pirma:</w:t>
      </w:r>
    </w:p>
    <w:p w:rsidR="00CB78E1" w:rsidRPr="00DE351D" w:rsidRDefault="00CB78E1" w:rsidP="007D6282">
      <w:pPr>
        <w:rPr>
          <w:rFonts w:cstheme="minorHAnsi"/>
          <w:bCs/>
          <w:u w:val="single"/>
          <w:lang w:val="en-GB"/>
        </w:rPr>
      </w:pPr>
    </w:p>
    <w:p w:rsidR="00CB78E1" w:rsidRPr="00DE351D" w:rsidRDefault="00F771E0" w:rsidP="007D6282">
      <w:pPr>
        <w:pStyle w:val="ListParagraph"/>
        <w:numPr>
          <w:ilvl w:val="0"/>
          <w:numId w:val="19"/>
        </w:numPr>
        <w:spacing w:after="0" w:line="288" w:lineRule="auto"/>
        <w:ind w:left="360"/>
        <w:jc w:val="both"/>
        <w:rPr>
          <w:rFonts w:asciiTheme="minorHAnsi" w:hAnsiTheme="minorHAnsi" w:cstheme="minorHAnsi"/>
        </w:rPr>
      </w:pPr>
      <w:r w:rsidRPr="00DE351D">
        <w:rPr>
          <w:rFonts w:asciiTheme="minorHAnsi" w:hAnsiTheme="minorHAnsi" w:cstheme="minorHAnsi"/>
        </w:rPr>
        <w:t>RK pateikiant nuomonę „Tvirta socialinė Europa teisingai pertvarkai užtikrinti“ (pranešėja Anne</w:t>
      </w:r>
      <w:r w:rsidR="00DE351D" w:rsidRPr="00DE351D">
        <w:rPr>
          <w:rFonts w:asciiTheme="minorHAnsi" w:hAnsiTheme="minorHAnsi" w:cstheme="minorHAnsi"/>
        </w:rPr>
        <w:t> </w:t>
      </w:r>
      <w:r w:rsidRPr="00DE351D">
        <w:rPr>
          <w:rFonts w:asciiTheme="minorHAnsi" w:hAnsiTheme="minorHAnsi" w:cstheme="minorHAnsi"/>
        </w:rPr>
        <w:t>Karjalainen (FI / PES), priimtą 2020 m. spalio mėn. plenarinėje sesijoje), kuri yra bendras RK</w:t>
      </w:r>
      <w:r w:rsidR="00DE351D">
        <w:rPr>
          <w:rFonts w:asciiTheme="minorHAnsi" w:hAnsiTheme="minorHAnsi" w:cstheme="minorHAnsi"/>
        </w:rPr>
        <w:t> </w:t>
      </w:r>
      <w:r w:rsidRPr="00DE351D">
        <w:rPr>
          <w:rFonts w:asciiTheme="minorHAnsi" w:hAnsiTheme="minorHAnsi" w:cstheme="minorHAnsi"/>
        </w:rPr>
        <w:t>atsakas į Komisijos komunikatą;</w:t>
      </w:r>
    </w:p>
    <w:p w:rsidR="00421A56" w:rsidRPr="00DE351D" w:rsidRDefault="00421A56" w:rsidP="007D6282">
      <w:pPr>
        <w:pStyle w:val="ListParagraph"/>
        <w:spacing w:after="0" w:line="288" w:lineRule="auto"/>
        <w:ind w:left="360"/>
        <w:jc w:val="both"/>
        <w:rPr>
          <w:rFonts w:asciiTheme="minorHAnsi" w:hAnsiTheme="minorHAnsi" w:cstheme="minorHAnsi"/>
          <w:bCs/>
        </w:rPr>
      </w:pPr>
    </w:p>
    <w:p w:rsidR="00176CAE" w:rsidRPr="00DE351D" w:rsidRDefault="00176CAE" w:rsidP="007D6282">
      <w:pPr>
        <w:pStyle w:val="ListParagraph"/>
        <w:numPr>
          <w:ilvl w:val="0"/>
          <w:numId w:val="19"/>
        </w:numPr>
        <w:spacing w:after="0" w:line="288" w:lineRule="auto"/>
        <w:ind w:left="360"/>
        <w:jc w:val="both"/>
        <w:rPr>
          <w:rFonts w:asciiTheme="minorHAnsi" w:hAnsiTheme="minorHAnsi" w:cstheme="minorHAnsi"/>
        </w:rPr>
      </w:pPr>
      <w:r w:rsidRPr="00DE351D">
        <w:rPr>
          <w:rFonts w:asciiTheme="minorHAnsi" w:hAnsiTheme="minorHAnsi" w:cstheme="minorHAnsi"/>
        </w:rPr>
        <w:t>RK pateikiant nuomonę „Ateities planas slaugytojams ir priežiūros sektoriui. Vietos ir regionų galimybės atremti Europos lygmens iššūkį“ (pranešėjas dar nepatvirtintas);</w:t>
      </w:r>
    </w:p>
    <w:p w:rsidR="00E136C4" w:rsidRPr="00DE351D" w:rsidRDefault="00E136C4" w:rsidP="007D6282">
      <w:pPr>
        <w:pStyle w:val="ListParagraph"/>
        <w:spacing w:after="0" w:line="288" w:lineRule="auto"/>
        <w:ind w:left="360"/>
        <w:jc w:val="both"/>
        <w:rPr>
          <w:rFonts w:asciiTheme="minorHAnsi" w:hAnsiTheme="minorHAnsi" w:cstheme="minorHAnsi"/>
        </w:rPr>
      </w:pPr>
    </w:p>
    <w:p w:rsidR="00F771E0" w:rsidRPr="00DE351D" w:rsidRDefault="00421A56" w:rsidP="007D6282">
      <w:pPr>
        <w:pStyle w:val="ListParagraph"/>
        <w:numPr>
          <w:ilvl w:val="0"/>
          <w:numId w:val="19"/>
        </w:numPr>
        <w:spacing w:after="0" w:line="288" w:lineRule="auto"/>
        <w:ind w:left="360"/>
        <w:jc w:val="both"/>
        <w:rPr>
          <w:rFonts w:asciiTheme="minorHAnsi" w:hAnsiTheme="minorHAnsi" w:cstheme="minorHAnsi"/>
        </w:rPr>
      </w:pPr>
      <w:r w:rsidRPr="00DE351D">
        <w:rPr>
          <w:rFonts w:asciiTheme="minorHAnsi" w:hAnsiTheme="minorHAnsi" w:cstheme="minorHAnsi"/>
        </w:rPr>
        <w:t>2020 m. Europos regionų ir miestų savaitės metu surengiant sesiją „Socialinė apsauga platformų darbuotojams. Iššūkiai ir galimybės“ joje dalyvaujant Užimtumo, socialinių reikalų ir įtraukties GD;</w:t>
      </w:r>
    </w:p>
    <w:p w:rsidR="00267B85" w:rsidRPr="00DE351D" w:rsidRDefault="00267B85" w:rsidP="007D6282">
      <w:pPr>
        <w:pStyle w:val="ListParagraph"/>
        <w:spacing w:after="0" w:line="288" w:lineRule="auto"/>
        <w:ind w:left="360"/>
        <w:jc w:val="both"/>
        <w:rPr>
          <w:rFonts w:asciiTheme="minorHAnsi" w:hAnsiTheme="minorHAnsi" w:cstheme="minorHAnsi"/>
        </w:rPr>
      </w:pPr>
    </w:p>
    <w:p w:rsidR="00512960" w:rsidRPr="00DE351D" w:rsidRDefault="00F5129F" w:rsidP="007D6282">
      <w:pPr>
        <w:pStyle w:val="ListParagraph"/>
        <w:numPr>
          <w:ilvl w:val="0"/>
          <w:numId w:val="19"/>
        </w:numPr>
        <w:spacing w:after="0" w:line="288" w:lineRule="auto"/>
        <w:ind w:left="360"/>
        <w:jc w:val="both"/>
        <w:rPr>
          <w:rFonts w:asciiTheme="minorHAnsi" w:hAnsiTheme="minorHAnsi" w:cstheme="minorHAnsi"/>
          <w:b/>
          <w:u w:val="single"/>
        </w:rPr>
      </w:pPr>
      <w:r w:rsidRPr="00DE351D">
        <w:rPr>
          <w:rFonts w:asciiTheme="minorHAnsi" w:hAnsiTheme="minorHAnsi" w:cstheme="minorHAnsi"/>
        </w:rPr>
        <w:t>siekiant atsižvelgti į Europos socialinių teisių ramsčio įgyvendinimo teritorinį aspektą, Komisija ir RK, kartu su Tarybai pirmininkausiančia Portugalija, ieškos būdų, kaip RK galėtų dalyvauti socialinių reikalų aukščiausiojo lygio susitikime.</w:t>
      </w:r>
    </w:p>
    <w:p w:rsidR="00151730" w:rsidRPr="00DE351D" w:rsidRDefault="00151730" w:rsidP="007D6282">
      <w:pPr>
        <w:rPr>
          <w:rFonts w:cstheme="minorHAnsi"/>
          <w:lang w:val="en-GB"/>
        </w:rPr>
      </w:pPr>
    </w:p>
    <w:p w:rsidR="00EA2779" w:rsidRPr="00DE351D" w:rsidRDefault="00EA2779" w:rsidP="007D6282">
      <w:pPr>
        <w:pStyle w:val="Heading2"/>
        <w:ind w:left="426" w:hanging="426"/>
        <w:jc w:val="both"/>
        <w:rPr>
          <w:rFonts w:eastAsiaTheme="majorEastAsia" w:cstheme="minorHAnsi"/>
          <w:b/>
          <w:color w:val="365F91" w:themeColor="accent1" w:themeShade="BF"/>
          <w:sz w:val="24"/>
          <w:szCs w:val="32"/>
        </w:rPr>
      </w:pPr>
      <w:r w:rsidRPr="00DE351D">
        <w:rPr>
          <w:rFonts w:cstheme="minorHAnsi"/>
          <w:b/>
          <w:sz w:val="24"/>
          <w:szCs w:val="24"/>
        </w:rPr>
        <w:t>2.2.</w:t>
      </w:r>
      <w:r w:rsidRPr="00DE351D">
        <w:rPr>
          <w:rFonts w:cstheme="minorHAnsi"/>
          <w:b/>
          <w:sz w:val="24"/>
          <w:szCs w:val="24"/>
        </w:rPr>
        <w:tab/>
      </w:r>
      <w:r w:rsidRPr="00DE351D">
        <w:rPr>
          <w:rFonts w:cstheme="minorHAnsi"/>
          <w:b/>
          <w:sz w:val="24"/>
          <w:szCs w:val="32"/>
        </w:rPr>
        <w:t>„Europos socialinio fondo +“ (ESF+) ir iniciatyvos „REACT-EU“ rengimas siekiant užtikrinti tinkamą jaunimo užimtumo priemonių finansavimą</w:t>
      </w:r>
    </w:p>
    <w:p w:rsidR="00527019" w:rsidRPr="00DE351D" w:rsidRDefault="00527019">
      <w:pPr>
        <w:keepNext/>
        <w:rPr>
          <w:rFonts w:cstheme="minorHAnsi"/>
          <w:lang w:val="en-GB"/>
        </w:rPr>
      </w:pPr>
    </w:p>
    <w:p w:rsidR="00527019" w:rsidRPr="00DE351D" w:rsidRDefault="00527019" w:rsidP="007D6282">
      <w:pPr>
        <w:rPr>
          <w:rFonts w:cstheme="minorHAnsi"/>
          <w:bCs/>
        </w:rPr>
      </w:pPr>
      <w:r w:rsidRPr="00DE351D">
        <w:rPr>
          <w:rFonts w:cstheme="minorHAnsi"/>
        </w:rPr>
        <w:t xml:space="preserve">Daugelis vietos ir regionų valdžios institucijų šiuo metu aktyviai dalyvauja rengiant būsimas ESF+ programas ir plėtojant projektus, siekiant pasinaudoti ESF+ finansavimu. Pasitelkusi ESF+, Komisija pasiūlė padidinti jaunimo užimtumo priemonių finansavimą tose valstybėse narėse, kuriose </w:t>
      </w:r>
      <w:r w:rsidRPr="00DE351D">
        <w:rPr>
          <w:rFonts w:cstheme="minorHAnsi"/>
        </w:rPr>
        <w:lastRenderedPageBreak/>
        <w:t>nedirbančių ir nesimokančių jaunuolių skaičius viršija ES vidurkį</w:t>
      </w:r>
      <w:r w:rsidR="006E25E8" w:rsidRPr="00DE351D">
        <w:rPr>
          <w:rStyle w:val="FootnoteReference"/>
          <w:rFonts w:cstheme="minorHAnsi"/>
          <w:bCs/>
          <w:sz w:val="24"/>
          <w:szCs w:val="24"/>
          <w:lang w:val="en-GB"/>
        </w:rPr>
        <w:footnoteReference w:id="4"/>
      </w:r>
      <w:r w:rsidRPr="00DE351D">
        <w:rPr>
          <w:rFonts w:cstheme="minorHAnsi"/>
        </w:rPr>
        <w:t>. Be to, naująja iniciatyva „REACT-EU“ gali būti remiamos jaunimo užimtumo priemonės. Atsižvelgiant į dabartinę pandemiją ir galimą jos poveikį jaunimo užimtumui, būtina visapusiškai pasinaudoti šios papildomos paramos teikiama nauda.</w:t>
      </w:r>
    </w:p>
    <w:p w:rsidR="00CB78E1" w:rsidRPr="00DE351D" w:rsidRDefault="00CB78E1">
      <w:pPr>
        <w:rPr>
          <w:rFonts w:cstheme="minorHAnsi"/>
          <w:bCs/>
          <w:u w:val="single"/>
          <w:lang w:val="en-GB"/>
        </w:rPr>
      </w:pPr>
    </w:p>
    <w:p w:rsidR="00AE28C2" w:rsidRPr="00DE351D" w:rsidRDefault="00F52BD7">
      <w:pPr>
        <w:rPr>
          <w:rFonts w:cstheme="minorHAnsi"/>
          <w:bCs/>
        </w:rPr>
      </w:pPr>
      <w:r w:rsidRPr="00DE351D">
        <w:rPr>
          <w:rFonts w:cstheme="minorHAnsi"/>
        </w:rPr>
        <w:t>RK galėtų palengvinti keitimąsi informacija ir geriausia patirtimi, kai kalbama apie REACT-EU ir ESF+ finansavimą, teikiamą remiant jaunimo užimtumo priemones. Ši finansinė pagalba padės siekti bendro ES tikslo šiam uždaviniui skirti ne mažiau kaip 22 mlrd. EUR</w:t>
      </w:r>
      <w:r w:rsidR="008911F1" w:rsidRPr="00DE351D">
        <w:rPr>
          <w:rStyle w:val="FootnoteReference"/>
          <w:rFonts w:cstheme="minorHAnsi"/>
          <w:bCs/>
          <w:sz w:val="24"/>
          <w:szCs w:val="24"/>
          <w:lang w:val="en-GB"/>
        </w:rPr>
        <w:footnoteReference w:id="5"/>
      </w:r>
      <w:r w:rsidRPr="00DE351D">
        <w:rPr>
          <w:rFonts w:cstheme="minorHAnsi"/>
        </w:rPr>
        <w:t xml:space="preserve"> ir sudarys dalį sustiprintos Jaunimo garantijų iniciatyvos finansavimo</w:t>
      </w:r>
      <w:r w:rsidR="008911F1" w:rsidRPr="00DE351D">
        <w:rPr>
          <w:rStyle w:val="FootnoteReference"/>
          <w:rFonts w:cstheme="minorHAnsi"/>
          <w:bCs/>
          <w:sz w:val="24"/>
          <w:szCs w:val="24"/>
          <w:lang w:val="en-GB"/>
        </w:rPr>
        <w:footnoteReference w:id="6"/>
      </w:r>
      <w:r w:rsidRPr="00DE351D">
        <w:rPr>
          <w:rFonts w:cstheme="minorHAnsi"/>
        </w:rPr>
        <w:t xml:space="preserve">. </w:t>
      </w:r>
    </w:p>
    <w:p w:rsidR="00AE28C2" w:rsidRPr="00DE351D" w:rsidRDefault="00AE28C2">
      <w:pPr>
        <w:rPr>
          <w:rFonts w:cstheme="minorHAnsi"/>
          <w:bCs/>
          <w:u w:val="single"/>
          <w:lang w:val="en-GB"/>
        </w:rPr>
      </w:pPr>
    </w:p>
    <w:p w:rsidR="006106B7" w:rsidRPr="00DE351D" w:rsidRDefault="002867F1">
      <w:pPr>
        <w:rPr>
          <w:rFonts w:cstheme="minorHAnsi"/>
          <w:bCs/>
        </w:rPr>
      </w:pPr>
      <w:r w:rsidRPr="00DE351D">
        <w:rPr>
          <w:rFonts w:cstheme="minorHAnsi"/>
        </w:rPr>
        <w:t xml:space="preserve">Vadovaudamasis partnerystės principu, RK galėtų skatinti vietos ir regionų valdžios institucijų dialogą rengiant kovos su jaunimo nedarbu koncepcijas glaudžiai bendradarbiaujant su socialiniais partneriais ir tapti regionų ir miestų idėjų ir politikos mainų platforma. </w:t>
      </w:r>
    </w:p>
    <w:p w:rsidR="006106B7" w:rsidRPr="00DE351D" w:rsidRDefault="006106B7">
      <w:pPr>
        <w:rPr>
          <w:rFonts w:cstheme="minorHAnsi"/>
          <w:bCs/>
          <w:lang w:val="en-GB"/>
        </w:rPr>
      </w:pPr>
    </w:p>
    <w:p w:rsidR="00527019" w:rsidRPr="00DE351D" w:rsidRDefault="006106B7">
      <w:pPr>
        <w:rPr>
          <w:rFonts w:cstheme="minorHAnsi"/>
        </w:rPr>
      </w:pPr>
      <w:r w:rsidRPr="00DE351D">
        <w:rPr>
          <w:rFonts w:cstheme="minorHAnsi"/>
        </w:rPr>
        <w:t>Tokiu būdu RK gali užtikrinti reikšmingą tolesnę veiklą, susijusią su Komisijos komunikatu „Jaunimo užimtumo rėmimas. Tiltas jaunai kartai į darbo rinką“</w:t>
      </w:r>
      <w:r w:rsidR="00150CCB" w:rsidRPr="00DE351D">
        <w:rPr>
          <w:rStyle w:val="FootnoteReference"/>
          <w:rFonts w:cstheme="minorHAnsi"/>
          <w:sz w:val="24"/>
          <w:szCs w:val="24"/>
          <w:lang w:val="en-GB"/>
        </w:rPr>
        <w:footnoteReference w:id="7"/>
      </w:r>
      <w:r w:rsidRPr="00DE351D">
        <w:rPr>
          <w:rFonts w:cstheme="minorHAnsi"/>
        </w:rPr>
        <w:t xml:space="preserve">, taip pat gali vykti tolesni RK susitikimai su Užimtumo, socialinių reikalų ir įtraukties GD. </w:t>
      </w:r>
    </w:p>
    <w:p w:rsidR="00F165DD" w:rsidRPr="00DE351D" w:rsidRDefault="00F165DD">
      <w:pPr>
        <w:rPr>
          <w:rFonts w:cstheme="minorHAnsi"/>
          <w:bCs/>
          <w:lang w:val="en-GB"/>
        </w:rPr>
      </w:pPr>
    </w:p>
    <w:p w:rsidR="00CB78E1" w:rsidRPr="00DE351D" w:rsidRDefault="00CB78E1" w:rsidP="007D6282">
      <w:pPr>
        <w:pStyle w:val="Heading2"/>
        <w:ind w:left="567" w:hanging="567"/>
        <w:jc w:val="both"/>
        <w:rPr>
          <w:rFonts w:eastAsiaTheme="majorEastAsia" w:cstheme="minorHAnsi"/>
          <w:b/>
          <w:color w:val="365F91" w:themeColor="accent1" w:themeShade="BF"/>
          <w:sz w:val="24"/>
          <w:szCs w:val="32"/>
        </w:rPr>
      </w:pPr>
      <w:r w:rsidRPr="00DE351D">
        <w:rPr>
          <w:rFonts w:cstheme="minorHAnsi"/>
          <w:b/>
          <w:sz w:val="24"/>
          <w:szCs w:val="24"/>
        </w:rPr>
        <w:t xml:space="preserve">2.3. </w:t>
      </w:r>
      <w:r w:rsidRPr="00DE351D">
        <w:rPr>
          <w:rFonts w:cstheme="minorHAnsi"/>
          <w:b/>
          <w:sz w:val="24"/>
          <w:szCs w:val="24"/>
        </w:rPr>
        <w:tab/>
      </w:r>
      <w:r w:rsidRPr="00DE351D">
        <w:rPr>
          <w:rFonts w:cstheme="minorHAnsi"/>
          <w:b/>
          <w:sz w:val="24"/>
          <w:szCs w:val="32"/>
        </w:rPr>
        <w:t xml:space="preserve">Įgūdžių darbotvarkė </w:t>
      </w:r>
    </w:p>
    <w:p w:rsidR="006106B7" w:rsidRPr="00DE351D" w:rsidRDefault="006106B7" w:rsidP="007D6282">
      <w:pPr>
        <w:keepNext/>
        <w:rPr>
          <w:rFonts w:eastAsiaTheme="majorEastAsia" w:cstheme="minorHAnsi"/>
          <w:lang w:val="en-GB"/>
        </w:rPr>
      </w:pPr>
    </w:p>
    <w:p w:rsidR="006106B7" w:rsidRPr="00DE351D" w:rsidRDefault="00EE2DE9" w:rsidP="007D6282">
      <w:pPr>
        <w:rPr>
          <w:rFonts w:cstheme="minorHAnsi"/>
        </w:rPr>
      </w:pPr>
      <w:r w:rsidRPr="00DE351D">
        <w:rPr>
          <w:rFonts w:cstheme="minorHAnsi"/>
        </w:rPr>
        <w:t>Pandemijos poveikis mūsų darbo pobūdžiui ir dvejopas perėjimas prie skaitmeninės ir žaliosios ekonomikos stipriai keičia įgūdžių paradigmą ES. Todėl labai svarbu skatinti ir susieti vietos požiūrį į įgūdžius, kaip raginama neseniai paskelbtoje Europos įgūdžių darbotvarkėje, kuria siekiama tvaraus konkurencingumo, socialinio sąžiningumo ir atsparumo</w:t>
      </w:r>
      <w:r w:rsidR="002867F1" w:rsidRPr="00DE351D">
        <w:rPr>
          <w:rStyle w:val="FootnoteReference"/>
          <w:rFonts w:cstheme="minorHAnsi"/>
          <w:bCs/>
          <w:sz w:val="24"/>
          <w:szCs w:val="24"/>
          <w:lang w:val="en-GB"/>
        </w:rPr>
        <w:footnoteReference w:id="8"/>
      </w:r>
      <w:r w:rsidRPr="00DE351D">
        <w:rPr>
          <w:rFonts w:cstheme="minorHAnsi"/>
        </w:rPr>
        <w:t>. Dirbant vietos lygmeniu galima maksimaliai padidinti vietos partnerių, pavyzdžiui, MVĮ dalyvavimą, ir geriau suprasti vietos darbo rinkos poreikius bei išnagrinėti sinergiją su kitomis vietos ir regioninėmis strategijomis. Be to, vietos ir regionų perspektyva galėtų padėti sukurti kokybines prognozes ir kiekybines įgūdžių įžvalgas, kurios savo ruožtu gali virsti įgūdžių numatymo modeliu arba metodu, kurį ateityje būtų galima taikyti planuojant ar formuojant politiką.</w:t>
      </w:r>
    </w:p>
    <w:p w:rsidR="006106B7" w:rsidRPr="00DE351D" w:rsidRDefault="006106B7">
      <w:pPr>
        <w:rPr>
          <w:rFonts w:cstheme="minorHAnsi"/>
          <w:bCs/>
          <w:lang w:val="en-GB"/>
        </w:rPr>
      </w:pPr>
    </w:p>
    <w:p w:rsidR="00421A56" w:rsidRPr="00DE351D" w:rsidRDefault="00150CCB" w:rsidP="007D6282">
      <w:pPr>
        <w:rPr>
          <w:rFonts w:cstheme="minorHAnsi"/>
          <w:bCs/>
        </w:rPr>
      </w:pPr>
      <w:r w:rsidRPr="00DE351D">
        <w:rPr>
          <w:rFonts w:cstheme="minorHAnsi"/>
        </w:rPr>
        <w:t>Tolesnis bendradarbiavimas gali būti pasiektas šiais veiksmais:</w:t>
      </w:r>
    </w:p>
    <w:p w:rsidR="000A7400" w:rsidRPr="00DE351D" w:rsidRDefault="000A7400" w:rsidP="007D6282">
      <w:pPr>
        <w:pStyle w:val="ListParagraph"/>
        <w:spacing w:after="0" w:line="288" w:lineRule="auto"/>
        <w:ind w:left="360"/>
        <w:jc w:val="both"/>
        <w:rPr>
          <w:rStyle w:val="normaltextrun"/>
          <w:rFonts w:asciiTheme="minorHAnsi" w:hAnsiTheme="minorHAnsi" w:cstheme="minorHAnsi"/>
        </w:rPr>
      </w:pPr>
    </w:p>
    <w:p w:rsidR="000A7400" w:rsidRPr="00DE351D" w:rsidRDefault="00151730" w:rsidP="007D6282">
      <w:pPr>
        <w:pStyle w:val="ListParagraph"/>
        <w:numPr>
          <w:ilvl w:val="0"/>
          <w:numId w:val="32"/>
        </w:numPr>
        <w:spacing w:after="0" w:line="288" w:lineRule="auto"/>
        <w:jc w:val="both"/>
        <w:rPr>
          <w:rStyle w:val="normaltextrun"/>
          <w:rFonts w:asciiTheme="minorHAnsi" w:hAnsiTheme="minorHAnsi" w:cstheme="minorHAnsi"/>
        </w:rPr>
      </w:pPr>
      <w:r w:rsidRPr="00DE351D">
        <w:rPr>
          <w:rStyle w:val="normaltextrun"/>
          <w:rFonts w:asciiTheme="minorHAnsi" w:hAnsiTheme="minorHAnsi" w:cstheme="minorHAnsi"/>
        </w:rPr>
        <w:t>bendrai propaguojant Įgūdžių paktą, kaip galimybę regionams kurti partnerystę su pramonės atstovais ir mokymo paslaugų teikėjais vietos gyventojų kvalifikacijos kėlimo ir perkvalifikavimo klausimais;</w:t>
      </w:r>
    </w:p>
    <w:p w:rsidR="000A7400" w:rsidRPr="00DE351D" w:rsidRDefault="000A7400" w:rsidP="007D6282">
      <w:pPr>
        <w:pStyle w:val="ListParagraph"/>
        <w:spacing w:after="0" w:line="288" w:lineRule="auto"/>
        <w:ind w:left="360"/>
        <w:jc w:val="both"/>
        <w:rPr>
          <w:rStyle w:val="normaltextrun"/>
          <w:rFonts w:asciiTheme="minorHAnsi" w:hAnsiTheme="minorHAnsi" w:cstheme="minorHAnsi"/>
        </w:rPr>
      </w:pPr>
    </w:p>
    <w:p w:rsidR="00421A56" w:rsidRPr="00DE351D" w:rsidRDefault="000A7400" w:rsidP="007D6282">
      <w:pPr>
        <w:pStyle w:val="ListParagraph"/>
        <w:numPr>
          <w:ilvl w:val="0"/>
          <w:numId w:val="32"/>
        </w:numPr>
        <w:spacing w:after="0" w:line="288" w:lineRule="auto"/>
        <w:jc w:val="both"/>
        <w:rPr>
          <w:rStyle w:val="normaltextrun"/>
          <w:rFonts w:asciiTheme="minorHAnsi" w:hAnsiTheme="minorHAnsi" w:cstheme="minorHAnsi"/>
        </w:rPr>
      </w:pPr>
      <w:r w:rsidRPr="00DE351D">
        <w:rPr>
          <w:rStyle w:val="normaltextrun"/>
          <w:rFonts w:asciiTheme="minorHAnsi" w:hAnsiTheme="minorHAnsi" w:cstheme="minorHAnsi"/>
        </w:rPr>
        <w:t>kartu su Užimtumo, socialinių reikalų ir įtraukties GD organizuojant aukšto lygio pameistrystės konferenciją „Regionų ir miestų vaidmuo užtikrinant aukštos kokybės pameistrystę“, kurią dėl COVID-19 pandemijos numatyta surengti 2021 m. pavasarį, ir papildomus internetinius renginius, kurie vyks prieš prasidedant pagrindinei konferencijai:</w:t>
      </w:r>
    </w:p>
    <w:p w:rsidR="000A7400" w:rsidRPr="00DE351D" w:rsidRDefault="000A7400">
      <w:pPr>
        <w:rPr>
          <w:rStyle w:val="normaltextrun"/>
          <w:rFonts w:cstheme="minorHAnsi"/>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E92442" w:rsidRPr="00DE351D">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DE351D" w:rsidRDefault="000A7400">
            <w:pPr>
              <w:rPr>
                <w:rFonts w:cstheme="minorHAnsi"/>
                <w:b/>
                <w:bCs/>
                <w:color w:val="FFFFFF"/>
              </w:rPr>
            </w:pPr>
            <w:r w:rsidRPr="00DE351D">
              <w:rPr>
                <w:rFonts w:cstheme="minorHAnsi"/>
                <w:b/>
                <w:bCs/>
                <w:color w:val="FFFFFF"/>
              </w:rPr>
              <w:t>Data</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DE351D" w:rsidRDefault="000A7400">
            <w:pPr>
              <w:rPr>
                <w:rFonts w:cstheme="minorHAnsi"/>
                <w:b/>
                <w:bCs/>
                <w:color w:val="FFFFFF"/>
              </w:rPr>
            </w:pPr>
            <w:r w:rsidRPr="00DE351D">
              <w:rPr>
                <w:rFonts w:cstheme="minorHAnsi"/>
                <w:b/>
                <w:bCs/>
                <w:color w:val="FFFFFF"/>
              </w:rPr>
              <w:t>Internetiniai seminarai / konferencija</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DE351D" w:rsidRDefault="000A7400">
            <w:pPr>
              <w:rPr>
                <w:rFonts w:cstheme="minorHAnsi"/>
                <w:b/>
                <w:bCs/>
                <w:color w:val="FFFFFF"/>
              </w:rPr>
            </w:pPr>
            <w:r w:rsidRPr="00DE351D">
              <w:rPr>
                <w:rFonts w:cstheme="minorHAnsi"/>
                <w:b/>
                <w:bCs/>
                <w:color w:val="FFFFFF"/>
              </w:rPr>
              <w:t>Tema</w:t>
            </w:r>
          </w:p>
        </w:tc>
      </w:tr>
      <w:tr w:rsidR="00E92442" w:rsidRPr="00DE351D">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2020 m. rugsėjo 29 d.</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 xml:space="preserve">1-asis internetinis seminaras: </w:t>
            </w:r>
            <w:r w:rsidRPr="00DE351D">
              <w:rPr>
                <w:rFonts w:cstheme="minorHAnsi"/>
                <w:i/>
                <w:iCs/>
              </w:rPr>
              <w:t>COVID-19 poveikis pameistrystei. Regionų ir miestų vaidmuo.</w:t>
            </w:r>
            <w:r w:rsidRPr="00DE351D">
              <w:rPr>
                <w:rFonts w:cstheme="minorHAnsi"/>
              </w:rP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Dėmesys skiriamas atsakui į COVID-19</w:t>
            </w:r>
          </w:p>
        </w:tc>
      </w:tr>
      <w:tr w:rsidR="00E92442" w:rsidRPr="00DE351D">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2021 m. sausio / vasario mėn.</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 xml:space="preserve">2-asis internetinis seminaras: </w:t>
            </w:r>
            <w:r w:rsidRPr="00DE351D">
              <w:rPr>
                <w:rFonts w:cstheme="minorHAnsi"/>
                <w:i/>
                <w:iCs/>
              </w:rPr>
              <w:t>Dvejopa pertvarka. Miestų vaidmuo užtikrinant aukštos kokybės pameistrystę.</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Dėmesys skiriamas dvejopai ekologinei ir skaitmeninei pertvarkai</w:t>
            </w:r>
          </w:p>
        </w:tc>
      </w:tr>
      <w:tr w:rsidR="00E92442" w:rsidRPr="00DE351D">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2021 m. kovo / balandžio mėn.</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 xml:space="preserve">3-iasis internetinis seminaras: </w:t>
            </w:r>
            <w:r w:rsidRPr="00DE351D">
              <w:rPr>
                <w:rFonts w:cstheme="minorHAnsi"/>
                <w:i/>
                <w:iCs/>
              </w:rPr>
              <w:t>Dvejopa pertvarka. Regionų vaidmuo užtikrinant aukštos kokybės pameistrystę.</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 xml:space="preserve">Dėmesys skiriamas dvejopai ekologinei ir skaitmeninei pertvarkai </w:t>
            </w:r>
          </w:p>
        </w:tc>
      </w:tr>
      <w:tr w:rsidR="00E92442" w:rsidRPr="00DE351D">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DE351D" w:rsidRDefault="000A7400">
            <w:pPr>
              <w:rPr>
                <w:rFonts w:cstheme="minorHAnsi"/>
              </w:rPr>
            </w:pPr>
            <w:r w:rsidRPr="00DE351D">
              <w:rPr>
                <w:rFonts w:cstheme="minorHAnsi"/>
              </w:rPr>
              <w:t>2021 m. birželio 3–4 d. (dar nepatvirtinta)</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DE351D" w:rsidRDefault="000A7400">
            <w:pPr>
              <w:rPr>
                <w:rFonts w:cstheme="minorHAnsi"/>
              </w:rPr>
            </w:pPr>
            <w:r w:rsidRPr="00DE351D">
              <w:rPr>
                <w:rFonts w:cstheme="minorHAnsi"/>
              </w:rPr>
              <w:t xml:space="preserve">Pagrindinė konferencija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DE351D" w:rsidRDefault="000A7400">
            <w:pPr>
              <w:rPr>
                <w:rFonts w:cstheme="minorHAnsi"/>
              </w:rPr>
            </w:pPr>
            <w:r w:rsidRPr="00DE351D">
              <w:rPr>
                <w:rFonts w:cstheme="minorHAnsi"/>
              </w:rPr>
              <w:t>(dar nepatvirtinta)</w:t>
            </w:r>
          </w:p>
        </w:tc>
      </w:tr>
      <w:tr w:rsidR="00E92442" w:rsidRPr="00DE351D">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(dar nepatvirtinta)</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(Internetiniai) tolesnės veiklos posėdžiai</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DE351D" w:rsidRDefault="000A7400">
            <w:pPr>
              <w:rPr>
                <w:rFonts w:cstheme="minorHAnsi"/>
              </w:rPr>
            </w:pPr>
            <w:r w:rsidRPr="00DE351D">
              <w:rPr>
                <w:rFonts w:cstheme="minorHAnsi"/>
              </w:rPr>
              <w:t>(dar nepatvirtinta)</w:t>
            </w:r>
          </w:p>
        </w:tc>
      </w:tr>
    </w:tbl>
    <w:p w:rsidR="002D435E" w:rsidRPr="00DE351D" w:rsidRDefault="002D435E" w:rsidP="007D6282">
      <w:pPr>
        <w:pStyle w:val="ListParagraph"/>
        <w:spacing w:after="0" w:line="288" w:lineRule="auto"/>
        <w:ind w:left="360"/>
        <w:jc w:val="both"/>
        <w:rPr>
          <w:rStyle w:val="normaltextrun"/>
          <w:rFonts w:asciiTheme="minorHAnsi" w:hAnsiTheme="minorHAnsi" w:cstheme="minorHAnsi"/>
        </w:rPr>
      </w:pPr>
    </w:p>
    <w:p w:rsidR="002D435E" w:rsidRPr="00DE351D" w:rsidRDefault="00151730" w:rsidP="007D6282">
      <w:pPr>
        <w:pStyle w:val="ListParagraph"/>
        <w:numPr>
          <w:ilvl w:val="0"/>
          <w:numId w:val="32"/>
        </w:numPr>
        <w:spacing w:after="0" w:line="288" w:lineRule="auto"/>
        <w:jc w:val="both"/>
        <w:rPr>
          <w:rFonts w:asciiTheme="minorHAnsi" w:hAnsiTheme="minorHAnsi" w:cstheme="minorHAnsi"/>
        </w:rPr>
      </w:pPr>
      <w:r w:rsidRPr="00DE351D">
        <w:rPr>
          <w:rFonts w:asciiTheme="minorHAnsi" w:hAnsiTheme="minorHAnsi" w:cstheme="minorHAnsi"/>
        </w:rPr>
        <w:t>tolesnis bendradarbiavimas bus plėtojamas rengiant nuomonę dėl Europos įgūdžių darbotvarkės, kuria siekiama tvaraus konkurencingumo, socialinio ﻿sąžiningumo ir atsparumo (pranešėjas Csaba</w:t>
      </w:r>
      <w:r w:rsidR="00DE351D" w:rsidRPr="00DE351D">
        <w:rPr>
          <w:rFonts w:asciiTheme="minorHAnsi" w:hAnsiTheme="minorHAnsi" w:cstheme="minorHAnsi"/>
        </w:rPr>
        <w:t> </w:t>
      </w:r>
      <w:r w:rsidRPr="00DE351D">
        <w:rPr>
          <w:rFonts w:asciiTheme="minorHAnsi" w:hAnsiTheme="minorHAnsi" w:cstheme="minorHAnsi"/>
        </w:rPr>
        <w:t xml:space="preserve">Borboly, RO / EPP); </w:t>
      </w:r>
    </w:p>
    <w:p w:rsidR="00F165DD" w:rsidRPr="00DE351D" w:rsidRDefault="00F165DD" w:rsidP="007D6282">
      <w:pPr>
        <w:pStyle w:val="ListParagraph"/>
        <w:spacing w:after="0" w:line="288" w:lineRule="auto"/>
        <w:ind w:left="360"/>
        <w:jc w:val="both"/>
        <w:rPr>
          <w:rFonts w:asciiTheme="minorHAnsi" w:hAnsiTheme="minorHAnsi" w:cstheme="minorHAnsi"/>
        </w:rPr>
      </w:pPr>
    </w:p>
    <w:p w:rsidR="00176CAE" w:rsidRPr="00DE351D" w:rsidRDefault="00151730" w:rsidP="007D6282">
      <w:pPr>
        <w:pStyle w:val="ListParagraph"/>
        <w:numPr>
          <w:ilvl w:val="0"/>
          <w:numId w:val="32"/>
        </w:numPr>
        <w:spacing w:after="0" w:line="288" w:lineRule="auto"/>
        <w:jc w:val="both"/>
        <w:rPr>
          <w:rFonts w:asciiTheme="minorHAnsi" w:hAnsiTheme="minorHAnsi" w:cstheme="minorHAnsi"/>
        </w:rPr>
      </w:pPr>
      <w:r w:rsidRPr="00DE351D">
        <w:rPr>
          <w:rFonts w:asciiTheme="minorHAnsi" w:hAnsiTheme="minorHAnsi" w:cstheme="minorHAnsi"/>
        </w:rPr>
        <w:t>bendradarbiaujant Europos pameistrystės aljanso (EAfA) klausimais. RK ir Europos pameistrystės aljansas galėtų toliau siekti vieno iš atnaujinto aljanso prioritetų – „Įtraukti vietos ir regionines valdžios institucijas kaip pameistrystės katalizatorius vietos verslo aplinkoje“. Kaip pavyzdį galima paminėti naujojo Miestų tinklo pameistrystei skatinti dalyvavimą bendruose aljanso ir RK</w:t>
      </w:r>
      <w:r w:rsidR="00DE351D">
        <w:rPr>
          <w:rFonts w:asciiTheme="minorHAnsi" w:hAnsiTheme="minorHAnsi" w:cstheme="minorHAnsi"/>
        </w:rPr>
        <w:t> </w:t>
      </w:r>
      <w:r w:rsidRPr="00DE351D">
        <w:rPr>
          <w:rFonts w:asciiTheme="minorHAnsi" w:hAnsiTheme="minorHAnsi" w:cstheme="minorHAnsi"/>
        </w:rPr>
        <w:t>internetiniuose seminaruose. Vienas iš pagrindinių tinklo tikslų bus didinti informuotumą apie miestų galimybes remti pameistrystę. Galiausiai, pasitelkdami tinklą, miestai galės mokytis vieni iš kitų, bendradarbiauti, kurti priemones, dalytis gerąja patirtimi ir teikti bei gauti techninę ir politinę pagalbą.   </w:t>
      </w:r>
    </w:p>
    <w:p w:rsidR="00C34231" w:rsidRPr="00DE351D" w:rsidRDefault="00C34231">
      <w:pPr>
        <w:rPr>
          <w:rFonts w:eastAsiaTheme="majorEastAsia" w:cstheme="minorHAnsi"/>
          <w:lang w:val="en-GB"/>
        </w:rPr>
      </w:pPr>
    </w:p>
    <w:p w:rsidR="003D64D4" w:rsidRPr="00DE351D" w:rsidRDefault="00025C0A" w:rsidP="007D6282">
      <w:pPr>
        <w:pStyle w:val="Heading2"/>
        <w:ind w:left="567" w:hanging="567"/>
        <w:jc w:val="both"/>
        <w:rPr>
          <w:rFonts w:eastAsiaTheme="majorEastAsia" w:cstheme="minorHAnsi"/>
          <w:b/>
          <w:color w:val="365F91" w:themeColor="accent1" w:themeShade="BF"/>
          <w:sz w:val="24"/>
          <w:szCs w:val="32"/>
        </w:rPr>
      </w:pPr>
      <w:r w:rsidRPr="00DE351D">
        <w:rPr>
          <w:rFonts w:cstheme="minorHAnsi"/>
          <w:b/>
          <w:sz w:val="24"/>
          <w:szCs w:val="24"/>
        </w:rPr>
        <w:t xml:space="preserve">2.4. </w:t>
      </w:r>
      <w:r w:rsidRPr="00DE351D">
        <w:rPr>
          <w:rFonts w:cstheme="minorHAnsi"/>
          <w:b/>
          <w:sz w:val="24"/>
          <w:szCs w:val="24"/>
        </w:rPr>
        <w:tab/>
      </w:r>
      <w:r w:rsidRPr="00DE351D">
        <w:rPr>
          <w:rFonts w:cstheme="minorHAnsi"/>
          <w:b/>
          <w:sz w:val="24"/>
          <w:szCs w:val="32"/>
        </w:rPr>
        <w:t>ES remiama koncepcija „Europos vietos lygmens darbo mugės“ vietos užimtumui remti</w:t>
      </w:r>
    </w:p>
    <w:p w:rsidR="00CE5349" w:rsidRPr="00DE351D" w:rsidRDefault="00CE5349">
      <w:pPr>
        <w:keepNext/>
        <w:rPr>
          <w:rFonts w:cstheme="minorHAnsi"/>
          <w:lang w:val="en-GB"/>
        </w:rPr>
      </w:pPr>
    </w:p>
    <w:p w:rsidR="00CC2877" w:rsidRPr="00DE351D" w:rsidRDefault="00394636" w:rsidP="007D6282">
      <w:pPr>
        <w:rPr>
          <w:rFonts w:cstheme="minorHAnsi"/>
        </w:rPr>
      </w:pPr>
      <w:r w:rsidRPr="00DE351D">
        <w:rPr>
          <w:rFonts w:cstheme="minorHAnsi"/>
        </w:rPr>
        <w:t xml:space="preserve">Siekiant geriau suderinti darbo vietas ir įgūdžius, susitarta išnagrinėti galimybes bendrai organizuoti „Europos vietos lygmens darbo muges“ visoje Europoje. Salonikai gali pasisiūlyti tokią „Europos vietos lygmens darbo mugę“ surengti kuo greičiau. Šis renginys galėtų tapti pavyzdžiu panašiems renginiams kituose ES regionuose. RK ir Užimtumo, socialinių reikalų ir įtraukties GD bendradarbiaus rengiant šią koncepciją ir ją įgyvendinant, įskaitant struktūrą, partnerius, finansavimą ir kt., dėl kurių bus susitarta atskirai. </w:t>
      </w:r>
    </w:p>
    <w:p w:rsidR="00FE1A83" w:rsidRPr="00DE351D" w:rsidRDefault="00FE1A83" w:rsidP="007D6282">
      <w:pPr>
        <w:rPr>
          <w:rFonts w:cstheme="minorHAnsi"/>
          <w:lang w:val="en-GB"/>
        </w:rPr>
      </w:pPr>
    </w:p>
    <w:p w:rsidR="00DC5206" w:rsidRPr="00DE351D" w:rsidRDefault="00455FAA" w:rsidP="007D6282">
      <w:pPr>
        <w:pStyle w:val="Heading3"/>
        <w:rPr>
          <w:rFonts w:cstheme="minorHAnsi"/>
          <w:color w:val="365F91" w:themeColor="accent1" w:themeShade="BF"/>
        </w:rPr>
      </w:pPr>
      <w:r w:rsidRPr="00DE351D">
        <w:rPr>
          <w:rFonts w:cstheme="minorHAnsi"/>
          <w:b/>
          <w:sz w:val="24"/>
          <w:szCs w:val="24"/>
        </w:rPr>
        <w:t>2.4.1.</w:t>
      </w:r>
      <w:r w:rsidRPr="00DE351D">
        <w:rPr>
          <w:rFonts w:cstheme="minorHAnsi"/>
          <w:b/>
          <w:sz w:val="24"/>
          <w:szCs w:val="24"/>
        </w:rPr>
        <w:tab/>
        <w:t>Jau esamos priemonės</w:t>
      </w:r>
    </w:p>
    <w:p w:rsidR="00CC2877" w:rsidRPr="00DE351D" w:rsidRDefault="00CC2877">
      <w:pPr>
        <w:keepNext/>
        <w:rPr>
          <w:rFonts w:cstheme="minorHAnsi"/>
          <w:lang w:val="en-GB"/>
        </w:rPr>
      </w:pPr>
    </w:p>
    <w:p w:rsidR="00CC2877" w:rsidRPr="00DE351D" w:rsidRDefault="00DF7306" w:rsidP="007D6282">
      <w:pPr>
        <w:pStyle w:val="ListParagraph"/>
        <w:numPr>
          <w:ilvl w:val="0"/>
          <w:numId w:val="35"/>
        </w:numPr>
        <w:spacing w:after="0" w:line="288" w:lineRule="auto"/>
        <w:jc w:val="both"/>
        <w:rPr>
          <w:rFonts w:asciiTheme="minorHAnsi" w:hAnsiTheme="minorHAnsi" w:cstheme="minorHAnsi"/>
        </w:rPr>
      </w:pPr>
      <w:r w:rsidRPr="00DE351D">
        <w:rPr>
          <w:rFonts w:asciiTheme="minorHAnsi" w:hAnsiTheme="minorHAnsi" w:cstheme="minorHAnsi"/>
        </w:rPr>
        <w:t>Europos užimtumo tarnybos (EURES) jau organizuoja renginį „Europos darbo dienos“, skatinantį darbo jėgos judumą visoje ES, suderinant kandidatų įgūdžius su darbdavių poreikiais kitose valstybėse narėse (tokių judumo renginių pakartojimas nesuteiktų pridėtinės vertės).</w:t>
      </w:r>
    </w:p>
    <w:p w:rsidR="00CC2877" w:rsidRPr="00DE351D" w:rsidRDefault="00CC2877" w:rsidP="007D6282">
      <w:pPr>
        <w:pStyle w:val="ListParagraph"/>
        <w:spacing w:after="0" w:line="288" w:lineRule="auto"/>
        <w:ind w:left="360"/>
        <w:jc w:val="both"/>
        <w:rPr>
          <w:rFonts w:asciiTheme="minorHAnsi" w:hAnsiTheme="minorHAnsi" w:cstheme="minorHAnsi"/>
        </w:rPr>
      </w:pPr>
    </w:p>
    <w:p w:rsidR="00CC2877" w:rsidRPr="00DE351D" w:rsidRDefault="00501E02" w:rsidP="007D6282">
      <w:pPr>
        <w:pStyle w:val="ListParagraph"/>
        <w:numPr>
          <w:ilvl w:val="0"/>
          <w:numId w:val="35"/>
        </w:numPr>
        <w:spacing w:after="0" w:line="288" w:lineRule="auto"/>
        <w:jc w:val="both"/>
        <w:rPr>
          <w:rFonts w:asciiTheme="minorHAnsi" w:hAnsiTheme="minorHAnsi" w:cstheme="minorHAnsi"/>
        </w:rPr>
      </w:pPr>
      <w:r w:rsidRPr="00DE351D">
        <w:rPr>
          <w:rFonts w:asciiTheme="minorHAnsi" w:hAnsiTheme="minorHAnsi" w:cstheme="minorHAnsi"/>
        </w:rPr>
        <w:t>Keleto ES projektų tikslas – kovoti su nedarbu, be to, yra ir nacionalinių programų, kuriomis siekiama to paties tikslo.</w:t>
      </w:r>
    </w:p>
    <w:p w:rsidR="00CC2877" w:rsidRPr="00DE351D" w:rsidRDefault="00CC2877" w:rsidP="007D6282">
      <w:pPr>
        <w:pStyle w:val="ListParagraph"/>
        <w:spacing w:after="0" w:line="288" w:lineRule="auto"/>
        <w:ind w:left="360"/>
        <w:jc w:val="both"/>
        <w:rPr>
          <w:rFonts w:asciiTheme="minorHAnsi" w:hAnsiTheme="minorHAnsi" w:cstheme="minorHAnsi"/>
        </w:rPr>
      </w:pPr>
    </w:p>
    <w:p w:rsidR="00CC2877" w:rsidRPr="00DE351D" w:rsidRDefault="002867F1" w:rsidP="007D6282">
      <w:pPr>
        <w:pStyle w:val="ListParagraph"/>
        <w:numPr>
          <w:ilvl w:val="0"/>
          <w:numId w:val="35"/>
        </w:numPr>
        <w:spacing w:after="0" w:line="288" w:lineRule="auto"/>
        <w:jc w:val="both"/>
        <w:rPr>
          <w:rFonts w:asciiTheme="minorHAnsi" w:hAnsiTheme="minorHAnsi" w:cstheme="minorHAnsi"/>
        </w:rPr>
      </w:pPr>
      <w:r w:rsidRPr="00DE351D">
        <w:rPr>
          <w:rFonts w:asciiTheme="minorHAnsi" w:hAnsiTheme="minorHAnsi" w:cstheme="minorHAnsi"/>
        </w:rPr>
        <w:t>ESF yra, o ESF+ bus pagrindinė priemonė vietos užimtumo strategijoms finansuoti ir mokymui, kvalifikacijos kėlimui ir perkvalifikavimui skatinti.</w:t>
      </w:r>
    </w:p>
    <w:p w:rsidR="00CC2877" w:rsidRPr="00DE351D" w:rsidRDefault="00CC2877" w:rsidP="007D6282">
      <w:pPr>
        <w:pStyle w:val="ListParagraph"/>
        <w:spacing w:after="0" w:line="288" w:lineRule="auto"/>
        <w:ind w:left="360"/>
        <w:jc w:val="both"/>
        <w:rPr>
          <w:rFonts w:asciiTheme="minorHAnsi" w:hAnsiTheme="minorHAnsi" w:cstheme="minorHAnsi"/>
        </w:rPr>
      </w:pPr>
    </w:p>
    <w:p w:rsidR="00CC2877" w:rsidRPr="00DE351D" w:rsidRDefault="00DF7306">
      <w:pPr>
        <w:numPr>
          <w:ilvl w:val="0"/>
          <w:numId w:val="35"/>
        </w:numPr>
        <w:rPr>
          <w:rFonts w:eastAsia="Times New Roman" w:cstheme="minorHAnsi"/>
          <w:sz w:val="24"/>
          <w:szCs w:val="24"/>
        </w:rPr>
      </w:pPr>
      <w:r w:rsidRPr="00DE351D">
        <w:rPr>
          <w:rFonts w:cstheme="minorHAnsi"/>
        </w:rPr>
        <w:t>Europos Sąjungos užimtumo ir socialinių inovacijų programa (EaSI) (2014–2020 m.) yra trijų krypčių: PROGRESS kryptis skirta užimtumui ir socialinėms paslaugoms modernizuoti, EURES kryptis skirta darbo jėgos judumui skatinti, o Mikrofinansų ir socialinio verslumo kryptis – pažeidžiamoms grupėms teikti mažąsias paskolas ir mikrokreditus ir įmonėms bei socialiniam verslumui remti. Nuo 2021 m. panašios galimybės bus teikiamos pagal programą „InvestEU.</w:t>
      </w:r>
    </w:p>
    <w:p w:rsidR="00FE1A83" w:rsidRPr="00DE351D" w:rsidRDefault="00FE1A83" w:rsidP="007D6282">
      <w:pPr>
        <w:rPr>
          <w:rFonts w:cstheme="minorHAnsi"/>
          <w:lang w:val="en-GB"/>
        </w:rPr>
      </w:pPr>
    </w:p>
    <w:p w:rsidR="00CC2877" w:rsidRPr="00DE351D" w:rsidRDefault="00455FAA" w:rsidP="007D6282">
      <w:pPr>
        <w:pStyle w:val="Heading3"/>
        <w:rPr>
          <w:rFonts w:eastAsiaTheme="majorEastAsia" w:cstheme="minorHAnsi"/>
          <w:b/>
          <w:color w:val="365F91" w:themeColor="accent1" w:themeShade="BF"/>
          <w:sz w:val="24"/>
          <w:szCs w:val="32"/>
        </w:rPr>
      </w:pPr>
      <w:r w:rsidRPr="00DE351D">
        <w:rPr>
          <w:rFonts w:cstheme="minorHAnsi"/>
          <w:b/>
          <w:sz w:val="24"/>
          <w:szCs w:val="24"/>
        </w:rPr>
        <w:t>2.4.2.</w:t>
      </w:r>
      <w:r w:rsidRPr="00DE351D">
        <w:rPr>
          <w:rFonts w:cstheme="minorHAnsi"/>
          <w:b/>
          <w:sz w:val="24"/>
          <w:szCs w:val="24"/>
        </w:rPr>
        <w:tab/>
      </w:r>
      <w:r w:rsidRPr="00DE351D">
        <w:rPr>
          <w:rFonts w:cstheme="minorHAnsi"/>
          <w:b/>
          <w:sz w:val="24"/>
          <w:szCs w:val="32"/>
        </w:rPr>
        <w:t>„Europos vietos lygmens darbo mugių“ pridėtinė vertė</w:t>
      </w:r>
    </w:p>
    <w:p w:rsidR="00CC2877" w:rsidRPr="00DE351D" w:rsidRDefault="00CC2877" w:rsidP="007D6282">
      <w:pPr>
        <w:keepNext/>
        <w:rPr>
          <w:rFonts w:cstheme="minorHAnsi"/>
          <w:lang w:val="en-GB"/>
        </w:rPr>
      </w:pPr>
    </w:p>
    <w:p w:rsidR="00CC2877" w:rsidRPr="00DE351D" w:rsidRDefault="00CC2877" w:rsidP="007D6282">
      <w:pPr>
        <w:pStyle w:val="ListParagraph"/>
        <w:spacing w:after="0" w:line="288" w:lineRule="auto"/>
        <w:ind w:left="0"/>
        <w:jc w:val="both"/>
        <w:rPr>
          <w:rFonts w:asciiTheme="minorHAnsi" w:hAnsiTheme="minorHAnsi" w:cstheme="minorHAnsi"/>
        </w:rPr>
      </w:pPr>
      <w:r w:rsidRPr="00DE351D">
        <w:rPr>
          <w:rFonts w:asciiTheme="minorHAnsi" w:hAnsiTheme="minorHAnsi" w:cstheme="minorHAnsi"/>
        </w:rPr>
        <w:t>Atsižvelgiant į jau esamas ES ir kitas iniciatyvas, konkreti „Europos vietos lygmens darbo mugės“ pridėtinė vertė būtų:</w:t>
      </w:r>
    </w:p>
    <w:p w:rsidR="00100433" w:rsidRPr="00DE351D" w:rsidRDefault="00100433" w:rsidP="007D6282">
      <w:pPr>
        <w:pStyle w:val="ListParagraph"/>
        <w:spacing w:after="0" w:line="288" w:lineRule="auto"/>
        <w:ind w:left="0"/>
        <w:jc w:val="both"/>
        <w:rPr>
          <w:rFonts w:asciiTheme="minorHAnsi" w:hAnsiTheme="minorHAnsi" w:cstheme="minorHAnsi"/>
        </w:rPr>
      </w:pPr>
    </w:p>
    <w:p w:rsidR="00100433" w:rsidRPr="00DE351D" w:rsidRDefault="00100433" w:rsidP="007D6282">
      <w:pPr>
        <w:pStyle w:val="ListParagraph"/>
        <w:numPr>
          <w:ilvl w:val="0"/>
          <w:numId w:val="35"/>
        </w:numPr>
        <w:spacing w:after="0" w:line="288" w:lineRule="auto"/>
        <w:jc w:val="both"/>
        <w:rPr>
          <w:rFonts w:asciiTheme="minorHAnsi" w:hAnsiTheme="minorHAnsi" w:cstheme="minorHAnsi"/>
        </w:rPr>
      </w:pPr>
      <w:r w:rsidRPr="00DE351D">
        <w:rPr>
          <w:rFonts w:asciiTheme="minorHAnsi" w:hAnsiTheme="minorHAnsi" w:cstheme="minorHAnsi"/>
        </w:rPr>
        <w:t>pristatyti esamas ES paslaugas darbo ieškantiems asmenims vietos, nacionaliniu ir Europos lygmeniu;</w:t>
      </w:r>
    </w:p>
    <w:p w:rsidR="0002399B" w:rsidRPr="00DE351D" w:rsidRDefault="0002399B" w:rsidP="007D6282">
      <w:pPr>
        <w:pStyle w:val="ListParagraph"/>
        <w:numPr>
          <w:ilvl w:val="0"/>
          <w:numId w:val="35"/>
        </w:numPr>
        <w:spacing w:after="0" w:line="288" w:lineRule="auto"/>
        <w:jc w:val="both"/>
        <w:rPr>
          <w:rFonts w:asciiTheme="minorHAnsi" w:hAnsiTheme="minorHAnsi" w:cstheme="minorHAnsi"/>
        </w:rPr>
      </w:pPr>
      <w:r w:rsidRPr="00DE351D">
        <w:rPr>
          <w:rFonts w:asciiTheme="minorHAnsi" w:hAnsiTheme="minorHAnsi" w:cstheme="minorHAnsi"/>
        </w:rPr>
        <w:t>pristatyti naujas įgūdžių ir užimtumo tendencijas vietos ir Europos lygmeniu;</w:t>
      </w:r>
    </w:p>
    <w:p w:rsidR="00100433" w:rsidRPr="00DE351D" w:rsidRDefault="00100433" w:rsidP="007D6282">
      <w:pPr>
        <w:pStyle w:val="ListParagraph"/>
        <w:numPr>
          <w:ilvl w:val="0"/>
          <w:numId w:val="35"/>
        </w:numPr>
        <w:spacing w:after="0" w:line="288" w:lineRule="auto"/>
        <w:jc w:val="both"/>
        <w:rPr>
          <w:rFonts w:asciiTheme="minorHAnsi" w:hAnsiTheme="minorHAnsi" w:cstheme="minorHAnsi"/>
        </w:rPr>
      </w:pPr>
      <w:r w:rsidRPr="00DE351D">
        <w:rPr>
          <w:rFonts w:asciiTheme="minorHAnsi" w:hAnsiTheme="minorHAnsi" w:cstheme="minorHAnsi"/>
        </w:rPr>
        <w:t>pristatyti ES programas, skirtas vietos ir regioninėms užimtumo strategijoms remti atsižvelgiant į vykdomą būsimų ESF programų programavimo veiklą;</w:t>
      </w:r>
    </w:p>
    <w:p w:rsidR="00100433" w:rsidRPr="00DE351D" w:rsidRDefault="00100433" w:rsidP="007D6282">
      <w:pPr>
        <w:pStyle w:val="ListParagraph"/>
        <w:numPr>
          <w:ilvl w:val="0"/>
          <w:numId w:val="35"/>
        </w:numPr>
        <w:spacing w:after="0" w:line="288" w:lineRule="auto"/>
        <w:jc w:val="both"/>
        <w:rPr>
          <w:rFonts w:asciiTheme="minorHAnsi" w:hAnsiTheme="minorHAnsi" w:cstheme="minorHAnsi"/>
        </w:rPr>
      </w:pPr>
      <w:r w:rsidRPr="00DE351D">
        <w:rPr>
          <w:rFonts w:asciiTheme="minorHAnsi" w:hAnsiTheme="minorHAnsi" w:cstheme="minorHAnsi"/>
        </w:rPr>
        <w:lastRenderedPageBreak/>
        <w:t xml:space="preserve">parodyti įvairių ES politikos krypčių ir programų sąsajas jaunimo požiūriu; </w:t>
      </w:r>
    </w:p>
    <w:p w:rsidR="00C97045" w:rsidRPr="00DE351D" w:rsidRDefault="00100433" w:rsidP="007D6282">
      <w:pPr>
        <w:pStyle w:val="ListParagraph"/>
        <w:numPr>
          <w:ilvl w:val="0"/>
          <w:numId w:val="35"/>
        </w:numPr>
        <w:spacing w:after="0" w:line="288" w:lineRule="auto"/>
        <w:jc w:val="both"/>
        <w:rPr>
          <w:rFonts w:asciiTheme="minorHAnsi" w:hAnsiTheme="minorHAnsi" w:cstheme="minorHAnsi"/>
        </w:rPr>
      </w:pPr>
      <w:r w:rsidRPr="00DE351D">
        <w:rPr>
          <w:rFonts w:asciiTheme="minorHAnsi" w:hAnsiTheme="minorHAnsi" w:cstheme="minorHAnsi"/>
        </w:rPr>
        <w:t>suteikti pagrindą dialogui su piliečiais apie ES socialinį aspektą ir jo reikšmę vietos ir regionų užimtumui;</w:t>
      </w:r>
    </w:p>
    <w:p w:rsidR="00100433" w:rsidRPr="00DE351D" w:rsidRDefault="00C97045" w:rsidP="007D6282">
      <w:pPr>
        <w:pStyle w:val="ListParagraph"/>
        <w:numPr>
          <w:ilvl w:val="0"/>
          <w:numId w:val="35"/>
        </w:numPr>
        <w:spacing w:after="0" w:line="288" w:lineRule="auto"/>
        <w:jc w:val="both"/>
        <w:rPr>
          <w:rFonts w:asciiTheme="minorHAnsi" w:hAnsiTheme="minorHAnsi" w:cstheme="minorHAnsi"/>
        </w:rPr>
      </w:pPr>
      <w:r w:rsidRPr="00DE351D">
        <w:rPr>
          <w:rFonts w:asciiTheme="minorHAnsi" w:hAnsiTheme="minorHAnsi" w:cstheme="minorHAnsi"/>
        </w:rPr>
        <w:t>remti darbo vietų ir įgūdžių suderinimą vietos lygmeniu, pasinaudojant ES parama tokiems vietos renginiams.</w:t>
      </w:r>
    </w:p>
    <w:p w:rsidR="00FE1A83" w:rsidRPr="00DE351D" w:rsidRDefault="00FE1A83">
      <w:pPr>
        <w:rPr>
          <w:rFonts w:cstheme="minorHAnsi"/>
          <w:lang w:val="en-GB"/>
        </w:rPr>
      </w:pPr>
    </w:p>
    <w:p w:rsidR="00F165DD" w:rsidRPr="00DE351D" w:rsidRDefault="001A2D75">
      <w:pPr>
        <w:rPr>
          <w:rFonts w:cstheme="minorHAnsi"/>
        </w:rPr>
      </w:pPr>
      <w:r w:rsidRPr="00DE351D">
        <w:rPr>
          <w:rFonts w:cstheme="minorHAnsi"/>
        </w:rPr>
        <w:t>Šiuo metu svarbu organizuoti tokias muges siekiant atsigauti po COVID-19 pandemijos. Todėl labai svarbu pradėti politinį dialogą su pagrindiniais socialinių partnerių atstovais, RK nariais ir ES atstovais dėl dabartinių užimtumo problemų sprendimo koncepcijų ir strategijų.</w:t>
      </w:r>
    </w:p>
    <w:p w:rsidR="00FE1A83" w:rsidRPr="00DE351D" w:rsidRDefault="00FE1A83">
      <w:pPr>
        <w:rPr>
          <w:rFonts w:cstheme="minorHAnsi"/>
          <w:lang w:val="en-GB"/>
        </w:rPr>
      </w:pPr>
    </w:p>
    <w:p w:rsidR="00100433" w:rsidRPr="00DE351D" w:rsidRDefault="00455FAA" w:rsidP="007D6282">
      <w:pPr>
        <w:pStyle w:val="Heading3"/>
        <w:ind w:left="709" w:hanging="709"/>
        <w:rPr>
          <w:rFonts w:eastAsiaTheme="majorEastAsia" w:cstheme="minorHAnsi"/>
          <w:b/>
          <w:color w:val="365F91" w:themeColor="accent1" w:themeShade="BF"/>
          <w:sz w:val="24"/>
          <w:szCs w:val="32"/>
        </w:rPr>
      </w:pPr>
      <w:r w:rsidRPr="00DE351D">
        <w:rPr>
          <w:rFonts w:cstheme="minorHAnsi"/>
          <w:b/>
          <w:sz w:val="24"/>
          <w:szCs w:val="24"/>
        </w:rPr>
        <w:t>2.4.3.</w:t>
      </w:r>
      <w:r w:rsidRPr="00DE351D">
        <w:rPr>
          <w:rFonts w:cstheme="minorHAnsi"/>
          <w:b/>
          <w:sz w:val="24"/>
          <w:szCs w:val="24"/>
        </w:rPr>
        <w:tab/>
      </w:r>
      <w:r w:rsidRPr="00DE351D">
        <w:rPr>
          <w:rFonts w:cstheme="minorHAnsi"/>
          <w:b/>
          <w:sz w:val="24"/>
          <w:szCs w:val="32"/>
        </w:rPr>
        <w:t>„Europos vietos lygmens darbo mugių“ tikslinė grupė</w:t>
      </w:r>
    </w:p>
    <w:p w:rsidR="0002399B" w:rsidRPr="00DE351D" w:rsidRDefault="0002399B">
      <w:pPr>
        <w:keepNext/>
        <w:rPr>
          <w:rFonts w:cstheme="minorHAnsi"/>
          <w:lang w:val="en-GB"/>
        </w:rPr>
      </w:pPr>
    </w:p>
    <w:p w:rsidR="0002399B" w:rsidRPr="00DE351D" w:rsidRDefault="0002399B" w:rsidP="007D6282">
      <w:pPr>
        <w:rPr>
          <w:rFonts w:cstheme="minorHAnsi"/>
        </w:rPr>
      </w:pPr>
      <w:r w:rsidRPr="00DE351D">
        <w:rPr>
          <w:rFonts w:cstheme="minorHAnsi"/>
        </w:rPr>
        <w:t>„Europos vietos lygmens darbo mugių“ tikslinę auditoriją galėtų sudaryti:</w:t>
      </w:r>
    </w:p>
    <w:p w:rsidR="0002399B" w:rsidRPr="00DE351D" w:rsidRDefault="0002399B">
      <w:pPr>
        <w:rPr>
          <w:rFonts w:cstheme="minorHAnsi"/>
          <w:lang w:val="en-GB"/>
        </w:rPr>
      </w:pPr>
    </w:p>
    <w:p w:rsidR="0002399B" w:rsidRPr="00DE351D" w:rsidRDefault="0002399B" w:rsidP="007D6282">
      <w:pPr>
        <w:pStyle w:val="ListParagraph"/>
        <w:numPr>
          <w:ilvl w:val="0"/>
          <w:numId w:val="33"/>
        </w:numPr>
        <w:spacing w:after="0" w:line="288" w:lineRule="auto"/>
        <w:ind w:left="360"/>
        <w:rPr>
          <w:rFonts w:asciiTheme="minorHAnsi" w:hAnsiTheme="minorHAnsi" w:cstheme="minorHAnsi"/>
        </w:rPr>
      </w:pPr>
      <w:r w:rsidRPr="00DE351D">
        <w:rPr>
          <w:rFonts w:asciiTheme="minorHAnsi" w:hAnsiTheme="minorHAnsi" w:cstheme="minorHAnsi"/>
        </w:rPr>
        <w:t>darbo ieškantys asmenys, ypač studentai ir neseniai aukštąjį mokslą baigę asmenys;</w:t>
      </w:r>
    </w:p>
    <w:p w:rsidR="0002399B" w:rsidRPr="00DE351D" w:rsidRDefault="0002399B" w:rsidP="007D6282">
      <w:pPr>
        <w:pStyle w:val="ListParagraph"/>
        <w:numPr>
          <w:ilvl w:val="0"/>
          <w:numId w:val="33"/>
        </w:numPr>
        <w:spacing w:after="0" w:line="288" w:lineRule="auto"/>
        <w:ind w:left="360"/>
        <w:rPr>
          <w:rFonts w:asciiTheme="minorHAnsi" w:hAnsiTheme="minorHAnsi" w:cstheme="minorHAnsi"/>
        </w:rPr>
      </w:pPr>
      <w:r w:rsidRPr="00DE351D">
        <w:rPr>
          <w:rFonts w:asciiTheme="minorHAnsi" w:hAnsiTheme="minorHAnsi" w:cstheme="minorHAnsi"/>
        </w:rPr>
        <w:t>vietos ir (arba) regionų valstybinės užimtumo tarnybos;</w:t>
      </w:r>
    </w:p>
    <w:p w:rsidR="0002399B" w:rsidRPr="00DE351D" w:rsidRDefault="0002399B" w:rsidP="007D6282">
      <w:pPr>
        <w:pStyle w:val="ListParagraph"/>
        <w:numPr>
          <w:ilvl w:val="0"/>
          <w:numId w:val="33"/>
        </w:numPr>
        <w:spacing w:after="0" w:line="288" w:lineRule="auto"/>
        <w:ind w:left="360"/>
        <w:rPr>
          <w:rFonts w:asciiTheme="minorHAnsi" w:hAnsiTheme="minorHAnsi" w:cstheme="minorHAnsi"/>
        </w:rPr>
      </w:pPr>
      <w:r w:rsidRPr="00DE351D">
        <w:rPr>
          <w:rFonts w:asciiTheme="minorHAnsi" w:hAnsiTheme="minorHAnsi" w:cstheme="minorHAnsi"/>
        </w:rPr>
        <w:t>mokymo, perkvalifikavimo ir įdarbinimo agentūros;</w:t>
      </w:r>
    </w:p>
    <w:p w:rsidR="0002399B" w:rsidRPr="00DE351D" w:rsidRDefault="0002399B" w:rsidP="007D6282">
      <w:pPr>
        <w:pStyle w:val="ListParagraph"/>
        <w:numPr>
          <w:ilvl w:val="0"/>
          <w:numId w:val="33"/>
        </w:numPr>
        <w:spacing w:after="0" w:line="288" w:lineRule="auto"/>
        <w:ind w:left="360"/>
        <w:rPr>
          <w:rFonts w:asciiTheme="minorHAnsi" w:hAnsiTheme="minorHAnsi" w:cstheme="minorHAnsi"/>
        </w:rPr>
      </w:pPr>
      <w:r w:rsidRPr="00DE351D">
        <w:rPr>
          <w:rFonts w:asciiTheme="minorHAnsi" w:hAnsiTheme="minorHAnsi" w:cstheme="minorHAnsi"/>
        </w:rPr>
        <w:t>socialiniai partneriai, švietimo įstaigos;</w:t>
      </w:r>
    </w:p>
    <w:p w:rsidR="0002399B" w:rsidRPr="00DE351D" w:rsidRDefault="0002399B" w:rsidP="007D6282">
      <w:pPr>
        <w:pStyle w:val="ListParagraph"/>
        <w:numPr>
          <w:ilvl w:val="0"/>
          <w:numId w:val="33"/>
        </w:numPr>
        <w:spacing w:after="0" w:line="288" w:lineRule="auto"/>
        <w:ind w:left="360"/>
        <w:rPr>
          <w:rFonts w:asciiTheme="minorHAnsi" w:hAnsiTheme="minorHAnsi" w:cstheme="minorHAnsi"/>
        </w:rPr>
      </w:pPr>
      <w:r w:rsidRPr="00DE351D">
        <w:rPr>
          <w:rFonts w:asciiTheme="minorHAnsi" w:hAnsiTheme="minorHAnsi" w:cstheme="minorHAnsi"/>
        </w:rPr>
        <w:t>vietos ir (arba) regionų valdžios institucijos ir politikai; ir</w:t>
      </w:r>
    </w:p>
    <w:p w:rsidR="0002399B" w:rsidRPr="00DE351D" w:rsidRDefault="0002399B" w:rsidP="007D6282">
      <w:pPr>
        <w:pStyle w:val="ListParagraph"/>
        <w:numPr>
          <w:ilvl w:val="0"/>
          <w:numId w:val="33"/>
        </w:numPr>
        <w:spacing w:after="0" w:line="288" w:lineRule="auto"/>
        <w:ind w:left="360"/>
        <w:rPr>
          <w:rFonts w:asciiTheme="minorHAnsi" w:hAnsiTheme="minorHAnsi" w:cstheme="minorHAnsi"/>
        </w:rPr>
      </w:pPr>
      <w:r w:rsidRPr="00DE351D">
        <w:rPr>
          <w:rFonts w:asciiTheme="minorHAnsi" w:hAnsiTheme="minorHAnsi" w:cstheme="minorHAnsi"/>
        </w:rPr>
        <w:t>vietos ir (arba) regioninė žiniasklaida.</w:t>
      </w:r>
    </w:p>
    <w:p w:rsidR="00FE1A83" w:rsidRPr="00DE351D" w:rsidRDefault="00FE1A83" w:rsidP="007D6282">
      <w:pPr>
        <w:rPr>
          <w:rFonts w:cstheme="minorHAnsi"/>
          <w:lang w:val="en-GB"/>
        </w:rPr>
      </w:pPr>
    </w:p>
    <w:p w:rsidR="0002399B" w:rsidRPr="00DE351D" w:rsidRDefault="00455FAA" w:rsidP="007D6282">
      <w:pPr>
        <w:pStyle w:val="Heading3"/>
        <w:tabs>
          <w:tab w:val="left" w:pos="567"/>
        </w:tabs>
        <w:rPr>
          <w:rFonts w:cstheme="minorHAnsi"/>
          <w:color w:val="365F91" w:themeColor="accent1" w:themeShade="BF"/>
        </w:rPr>
      </w:pPr>
      <w:r w:rsidRPr="00DE351D">
        <w:rPr>
          <w:rFonts w:cstheme="minorHAnsi"/>
          <w:b/>
          <w:sz w:val="24"/>
          <w:szCs w:val="24"/>
        </w:rPr>
        <w:t>2.4.4.</w:t>
      </w:r>
      <w:r w:rsidRPr="00DE351D">
        <w:rPr>
          <w:rFonts w:cstheme="minorHAnsi"/>
          <w:b/>
          <w:sz w:val="24"/>
          <w:szCs w:val="24"/>
        </w:rPr>
        <w:tab/>
        <w:t>Galimi partneriai ir įgyvendinimas</w:t>
      </w:r>
    </w:p>
    <w:p w:rsidR="0002399B" w:rsidRPr="00DE351D" w:rsidRDefault="0002399B" w:rsidP="007D6282">
      <w:pPr>
        <w:keepNext/>
        <w:rPr>
          <w:rFonts w:cstheme="minorHAnsi"/>
          <w:lang w:val="en-GB"/>
        </w:rPr>
      </w:pPr>
    </w:p>
    <w:p w:rsidR="0002399B" w:rsidRPr="00DE351D" w:rsidRDefault="00E0617C">
      <w:pPr>
        <w:rPr>
          <w:rFonts w:cstheme="minorHAnsi"/>
        </w:rPr>
      </w:pPr>
      <w:r w:rsidRPr="00DE351D">
        <w:rPr>
          <w:rFonts w:cstheme="minorHAnsi"/>
        </w:rPr>
        <w:t>„Europos vietos lygmens darbo mugė“ bus itin sėkminga, jei joje nuo pat pradžių dalyvaus tinkami partneriai, kad būtų užtikrintas prasmingas indėlis. Renginyje galėtų dalyvauti šie partneriai:</w:t>
      </w:r>
    </w:p>
    <w:p w:rsidR="0002399B" w:rsidRPr="00DE351D" w:rsidRDefault="0002399B">
      <w:pPr>
        <w:rPr>
          <w:rFonts w:cstheme="minorHAnsi"/>
          <w:lang w:val="en-GB"/>
        </w:rPr>
      </w:pPr>
    </w:p>
    <w:p w:rsidR="0002399B" w:rsidRPr="00DE351D" w:rsidRDefault="00E0617C" w:rsidP="007D6282">
      <w:pPr>
        <w:pStyle w:val="ListParagraph"/>
        <w:numPr>
          <w:ilvl w:val="0"/>
          <w:numId w:val="40"/>
        </w:numPr>
        <w:spacing w:after="0" w:line="288" w:lineRule="auto"/>
        <w:jc w:val="both"/>
        <w:rPr>
          <w:rFonts w:asciiTheme="minorHAnsi" w:hAnsiTheme="minorHAnsi" w:cstheme="minorHAnsi"/>
        </w:rPr>
      </w:pPr>
      <w:r w:rsidRPr="00DE351D">
        <w:rPr>
          <w:rFonts w:asciiTheme="minorHAnsi" w:hAnsiTheme="minorHAnsi" w:cstheme="minorHAnsi"/>
          <w:u w:val="single"/>
        </w:rPr>
        <w:t>vietos lygmeniu</w:t>
      </w:r>
      <w:r w:rsidRPr="00DE351D">
        <w:rPr>
          <w:rFonts w:asciiTheme="minorHAnsi" w:hAnsiTheme="minorHAnsi" w:cstheme="minorHAnsi"/>
        </w:rPr>
        <w:t>: valdžios institucijos, prekybos rūmai ir verslo asociacijos, profesinės sąjungos, pilietinė visuomenė, mokyklos, universitetai ir kt.;</w:t>
      </w:r>
    </w:p>
    <w:p w:rsidR="0002399B" w:rsidRPr="00DE351D" w:rsidRDefault="00E0617C" w:rsidP="007D6282">
      <w:pPr>
        <w:pStyle w:val="ListParagraph"/>
        <w:numPr>
          <w:ilvl w:val="0"/>
          <w:numId w:val="40"/>
        </w:numPr>
        <w:spacing w:after="0" w:line="288" w:lineRule="auto"/>
        <w:jc w:val="both"/>
        <w:rPr>
          <w:rFonts w:asciiTheme="minorHAnsi" w:hAnsiTheme="minorHAnsi" w:cstheme="minorHAnsi"/>
        </w:rPr>
      </w:pPr>
      <w:r w:rsidRPr="00DE351D">
        <w:rPr>
          <w:rFonts w:asciiTheme="minorHAnsi" w:hAnsiTheme="minorHAnsi" w:cstheme="minorHAnsi"/>
          <w:u w:val="single"/>
        </w:rPr>
        <w:t>regionų lygmeniu</w:t>
      </w:r>
      <w:r w:rsidRPr="00DE351D">
        <w:rPr>
          <w:rFonts w:asciiTheme="minorHAnsi" w:hAnsiTheme="minorHAnsi" w:cstheme="minorHAnsi"/>
        </w:rPr>
        <w:t>: ESF valdymo institucija, užimtumo tarnybos, regioninės ministerijos, regioninės verslo asociacijos, universitetai ir kt.;</w:t>
      </w:r>
    </w:p>
    <w:p w:rsidR="0002399B" w:rsidRPr="00DE351D" w:rsidRDefault="00E0617C" w:rsidP="007D6282">
      <w:pPr>
        <w:pStyle w:val="ListParagraph"/>
        <w:numPr>
          <w:ilvl w:val="0"/>
          <w:numId w:val="40"/>
        </w:numPr>
        <w:spacing w:after="0" w:line="288" w:lineRule="auto"/>
        <w:jc w:val="both"/>
        <w:rPr>
          <w:rFonts w:asciiTheme="minorHAnsi" w:hAnsiTheme="minorHAnsi" w:cstheme="minorHAnsi"/>
        </w:rPr>
      </w:pPr>
      <w:r w:rsidRPr="00DE351D">
        <w:rPr>
          <w:rFonts w:asciiTheme="minorHAnsi" w:hAnsiTheme="minorHAnsi" w:cstheme="minorHAnsi"/>
          <w:u w:val="single"/>
        </w:rPr>
        <w:t>nacionaliniu lygmeniu</w:t>
      </w:r>
      <w:r w:rsidRPr="00DE351D">
        <w:rPr>
          <w:rFonts w:asciiTheme="minorHAnsi" w:hAnsiTheme="minorHAnsi" w:cstheme="minorHAnsi"/>
        </w:rPr>
        <w:t>: nacionalinės ministerijos, socialinio sektoriaus asociacijos, verslo asociacijos, mokymo asociacijos, universitetų asociacijos ir kt.;</w:t>
      </w:r>
    </w:p>
    <w:p w:rsidR="00256F0C" w:rsidRPr="00DE351D" w:rsidRDefault="00E0617C" w:rsidP="007D6282">
      <w:pPr>
        <w:pStyle w:val="ListParagraph"/>
        <w:numPr>
          <w:ilvl w:val="0"/>
          <w:numId w:val="40"/>
        </w:numPr>
        <w:spacing w:after="0" w:line="288" w:lineRule="auto"/>
        <w:jc w:val="both"/>
        <w:rPr>
          <w:rFonts w:asciiTheme="minorHAnsi" w:hAnsiTheme="minorHAnsi" w:cstheme="minorHAnsi"/>
        </w:rPr>
      </w:pPr>
      <w:r w:rsidRPr="00DE351D">
        <w:rPr>
          <w:rFonts w:asciiTheme="minorHAnsi" w:hAnsiTheme="minorHAnsi" w:cstheme="minorHAnsi"/>
          <w:u w:val="single"/>
        </w:rPr>
        <w:t>ES lygmeniu</w:t>
      </w:r>
      <w:r w:rsidRPr="00DE351D">
        <w:rPr>
          <w:rFonts w:asciiTheme="minorHAnsi" w:hAnsiTheme="minorHAnsi" w:cstheme="minorHAnsi"/>
        </w:rPr>
        <w:t xml:space="preserve">: Europos Komisija (vadovaujant Užimtumo, socialinių reikalų ir įtraukties GD; </w:t>
      </w:r>
      <w:r w:rsidRPr="00DE351D">
        <w:rPr>
          <w:rFonts w:asciiTheme="minorHAnsi" w:hAnsiTheme="minorHAnsi" w:cstheme="minorHAnsi"/>
          <w:i/>
        </w:rPr>
        <w:t>kiti GD</w:t>
      </w:r>
      <w:r w:rsidR="00DE351D">
        <w:rPr>
          <w:rFonts w:asciiTheme="minorHAnsi" w:hAnsiTheme="minorHAnsi" w:cstheme="minorHAnsi"/>
          <w:i/>
        </w:rPr>
        <w:t> </w:t>
      </w:r>
      <w:r w:rsidRPr="00DE351D">
        <w:rPr>
          <w:rFonts w:asciiTheme="minorHAnsi" w:hAnsiTheme="minorHAnsi" w:cstheme="minorHAnsi"/>
          <w:i/>
        </w:rPr>
        <w:t>ir tarnybos, kurie galėtų būti pakviesti</w:t>
      </w:r>
      <w:r w:rsidRPr="00DE351D">
        <w:rPr>
          <w:rFonts w:asciiTheme="minorHAnsi" w:hAnsiTheme="minorHAnsi" w:cstheme="minorHAnsi"/>
        </w:rPr>
        <w:t>: Švietimo, jaunimo, sporto ir kultūros GD, Regioninės ir miestų politikos GD, Struktūrinių reformų rėmimo GD, Jungtinis tyrimų centras), ES agentūros (EDI, CEDEFOP, EUROFOUND), RK nariai, EP nariai, socialiniai partneriai.</w:t>
      </w:r>
    </w:p>
    <w:p w:rsidR="00FE1A83" w:rsidRPr="00DE351D" w:rsidRDefault="00FE1A83">
      <w:pPr>
        <w:rPr>
          <w:rFonts w:cstheme="minorHAnsi"/>
          <w:lang w:val="en-GB"/>
        </w:rPr>
      </w:pPr>
    </w:p>
    <w:p w:rsidR="00834904" w:rsidRPr="00DE351D" w:rsidRDefault="00834904">
      <w:pPr>
        <w:rPr>
          <w:rFonts w:cstheme="minorHAnsi"/>
        </w:rPr>
      </w:pPr>
      <w:r w:rsidRPr="00DE351D">
        <w:rPr>
          <w:rFonts w:cstheme="minorHAnsi"/>
        </w:rPr>
        <w:lastRenderedPageBreak/>
        <w:t xml:space="preserve">Kadangi dėl dabartinės COVID-19 pandemijos šiuo metu neįmanoma organizuoti mugių fiziškai, susitarus su atitinkamu nacionaliniu EURES koordinavimo biuru ir jam dalyvaujant būtų galima apsvarstyti galimybę organizuoti tokius renginius kaip </w:t>
      </w:r>
      <w:hyperlink r:id="rId14" w:history="1">
        <w:r w:rsidRPr="00DE351D">
          <w:rPr>
            <w:rFonts w:cstheme="minorHAnsi"/>
          </w:rPr>
          <w:t>Europos internetinės darbo dienos</w:t>
        </w:r>
      </w:hyperlink>
      <w:r w:rsidRPr="00DE351D">
        <w:rPr>
          <w:rFonts w:cstheme="minorHAnsi"/>
        </w:rPr>
        <w:t>.</w:t>
      </w:r>
    </w:p>
    <w:p w:rsidR="003E0FE7" w:rsidRPr="00DE351D" w:rsidRDefault="003E0FE7">
      <w:pPr>
        <w:rPr>
          <w:rFonts w:cstheme="minorHAnsi"/>
          <w:lang w:val="en-GB"/>
        </w:rPr>
      </w:pPr>
    </w:p>
    <w:p w:rsidR="00E6624D" w:rsidRPr="00DE351D" w:rsidRDefault="00E6624D">
      <w:pPr>
        <w:rPr>
          <w:rFonts w:cstheme="minorHAnsi"/>
        </w:rPr>
      </w:pPr>
      <w:r w:rsidRPr="00DE351D">
        <w:rPr>
          <w:rFonts w:cstheme="minorHAnsi"/>
        </w:rPr>
        <w:t>Organizatorių ir partnerių funkcijos ir pareigos bus apibrėžtos atskiruose susitarimuose.</w:t>
      </w:r>
    </w:p>
    <w:p w:rsidR="00F165DD" w:rsidRPr="00DE351D" w:rsidRDefault="00F165DD">
      <w:pPr>
        <w:rPr>
          <w:rFonts w:cstheme="minorHAnsi"/>
          <w:sz w:val="24"/>
          <w:lang w:val="en-GB"/>
        </w:rPr>
      </w:pPr>
    </w:p>
    <w:p w:rsidR="001A2D75" w:rsidRPr="00DE351D" w:rsidRDefault="001A2D75" w:rsidP="007D6282">
      <w:pPr>
        <w:pStyle w:val="ListParagraph"/>
        <w:keepNext/>
        <w:numPr>
          <w:ilvl w:val="2"/>
          <w:numId w:val="22"/>
        </w:numPr>
        <w:spacing w:after="0" w:line="288" w:lineRule="auto"/>
        <w:rPr>
          <w:rFonts w:asciiTheme="minorHAnsi" w:hAnsiTheme="minorHAnsi" w:cstheme="minorHAnsi"/>
          <w:b/>
          <w:sz w:val="24"/>
        </w:rPr>
      </w:pPr>
      <w:r w:rsidRPr="00DE351D">
        <w:rPr>
          <w:rFonts w:asciiTheme="minorHAnsi" w:hAnsiTheme="minorHAnsi" w:cstheme="minorHAnsi"/>
          <w:b/>
          <w:sz w:val="24"/>
        </w:rPr>
        <w:t>Finansavimas ir kita parama</w:t>
      </w:r>
    </w:p>
    <w:p w:rsidR="001A2D75" w:rsidRPr="00DE351D" w:rsidRDefault="001A2D75" w:rsidP="007D6282">
      <w:pPr>
        <w:keepNext/>
        <w:rPr>
          <w:rFonts w:cstheme="minorHAnsi"/>
          <w:lang w:val="en-GB"/>
        </w:rPr>
      </w:pPr>
    </w:p>
    <w:p w:rsidR="006C7232" w:rsidRPr="00DE351D" w:rsidRDefault="001A2D75">
      <w:pPr>
        <w:rPr>
          <w:rFonts w:cstheme="minorHAnsi"/>
        </w:rPr>
      </w:pPr>
      <w:r w:rsidRPr="00DE351D">
        <w:rPr>
          <w:rFonts w:cstheme="minorHAnsi"/>
        </w:rPr>
        <w:t>„Europos vietos lygmens darbo mugės“, kurias rengtų RK nariai, galėtų būti finansuojamos ES lėšomis. Regionų komitetas ir Užimtumo, socialinių reikalų ir įtraukties GD kartu išnagrinės tinkamas finansinės paramos šiems renginiams galimybes.</w:t>
      </w:r>
    </w:p>
    <w:p w:rsidR="001A2D75" w:rsidRPr="00DE351D" w:rsidRDefault="001A2D75">
      <w:pPr>
        <w:rPr>
          <w:rFonts w:cstheme="minorHAnsi"/>
          <w:lang w:val="en-GB"/>
        </w:rPr>
      </w:pPr>
    </w:p>
    <w:p w:rsidR="001A2D75" w:rsidRPr="00DE351D" w:rsidRDefault="008D4711">
      <w:pPr>
        <w:rPr>
          <w:rFonts w:cstheme="minorHAnsi"/>
        </w:rPr>
      </w:pPr>
      <w:r w:rsidRPr="00DE351D">
        <w:rPr>
          <w:rFonts w:cstheme="minorHAnsi"/>
        </w:rPr>
        <w:t>Parama galėtų, be kita ko, būti:</w:t>
      </w:r>
    </w:p>
    <w:p w:rsidR="001A2D75" w:rsidRPr="00DE351D" w:rsidRDefault="001A2D75">
      <w:pPr>
        <w:rPr>
          <w:rFonts w:cstheme="minorHAnsi"/>
          <w:lang w:val="en-GB"/>
        </w:rPr>
      </w:pPr>
    </w:p>
    <w:p w:rsidR="001A2D75" w:rsidRPr="00DE351D" w:rsidRDefault="001A2D75" w:rsidP="007D6282">
      <w:pPr>
        <w:pStyle w:val="ListParagraph"/>
        <w:numPr>
          <w:ilvl w:val="0"/>
          <w:numId w:val="41"/>
        </w:numPr>
        <w:spacing w:after="0" w:line="288" w:lineRule="auto"/>
        <w:jc w:val="both"/>
        <w:rPr>
          <w:rFonts w:asciiTheme="minorHAnsi" w:hAnsiTheme="minorHAnsi" w:cstheme="minorHAnsi"/>
        </w:rPr>
      </w:pPr>
      <w:r w:rsidRPr="00DE351D">
        <w:rPr>
          <w:rFonts w:asciiTheme="minorHAnsi" w:hAnsiTheme="minorHAnsi" w:cstheme="minorHAnsi"/>
        </w:rPr>
        <w:t>ES partnerių įsipareigojimas aktyviai dalyvauti mugėse (ekspertų ir delegatų siuntimas);</w:t>
      </w:r>
    </w:p>
    <w:p w:rsidR="001A2D75" w:rsidRPr="00DE351D" w:rsidRDefault="001A2D75" w:rsidP="007D6282">
      <w:pPr>
        <w:pStyle w:val="ListParagraph"/>
        <w:numPr>
          <w:ilvl w:val="0"/>
          <w:numId w:val="41"/>
        </w:numPr>
        <w:spacing w:after="0" w:line="288" w:lineRule="auto"/>
        <w:jc w:val="both"/>
        <w:rPr>
          <w:rFonts w:asciiTheme="minorHAnsi" w:hAnsiTheme="minorHAnsi" w:cstheme="minorHAnsi"/>
        </w:rPr>
      </w:pPr>
      <w:r w:rsidRPr="00DE351D">
        <w:rPr>
          <w:rFonts w:asciiTheme="minorHAnsi" w:hAnsiTheme="minorHAnsi" w:cstheme="minorHAnsi"/>
        </w:rPr>
        <w:t>ES partnerių įsipareigojimas parengti renginiui tinkamą informacinę medžiagą;</w:t>
      </w:r>
    </w:p>
    <w:p w:rsidR="001A2D75" w:rsidRPr="00DE351D" w:rsidRDefault="001A2D75" w:rsidP="007D6282">
      <w:pPr>
        <w:pStyle w:val="ListParagraph"/>
        <w:numPr>
          <w:ilvl w:val="0"/>
          <w:numId w:val="41"/>
        </w:numPr>
        <w:spacing w:after="0" w:line="288" w:lineRule="auto"/>
        <w:jc w:val="both"/>
        <w:rPr>
          <w:rFonts w:asciiTheme="minorHAnsi" w:hAnsiTheme="minorHAnsi" w:cstheme="minorHAnsi"/>
        </w:rPr>
      </w:pPr>
      <w:r w:rsidRPr="00DE351D">
        <w:rPr>
          <w:rFonts w:asciiTheme="minorHAnsi" w:hAnsiTheme="minorHAnsi" w:cstheme="minorHAnsi"/>
        </w:rPr>
        <w:t>jeigu įmanoma, aukšto lygio atstovo (Komisijos nario arba Užimtumo, socialinių reikalų ir įtraukties GD vyresniojo vadovo) dalyvavimas mugėje.</w:t>
      </w:r>
    </w:p>
    <w:p w:rsidR="007A1EBE" w:rsidRPr="00DE351D" w:rsidRDefault="007A1EBE" w:rsidP="007D6282">
      <w:pPr>
        <w:rPr>
          <w:rFonts w:cstheme="minorHAnsi"/>
          <w:lang w:val="en-GB"/>
        </w:rPr>
      </w:pPr>
    </w:p>
    <w:p w:rsidR="00E01D16" w:rsidRPr="00DE351D" w:rsidRDefault="008C4469" w:rsidP="007D6282">
      <w:pPr>
        <w:pStyle w:val="Heading1"/>
        <w:spacing w:before="0"/>
        <w:ind w:left="567" w:hanging="567"/>
        <w:rPr>
          <w:rFonts w:asciiTheme="minorHAnsi" w:hAnsiTheme="minorHAnsi" w:cstheme="minorHAnsi"/>
          <w:b/>
          <w:sz w:val="24"/>
        </w:rPr>
      </w:pPr>
      <w:r w:rsidRPr="00DE351D">
        <w:rPr>
          <w:rFonts w:asciiTheme="minorHAnsi" w:hAnsiTheme="minorHAnsi" w:cstheme="minorHAnsi"/>
          <w:b/>
          <w:color w:val="auto"/>
          <w:sz w:val="24"/>
          <w:szCs w:val="24"/>
        </w:rPr>
        <w:t xml:space="preserve">3. </w:t>
      </w:r>
      <w:r w:rsidRPr="00DE351D">
        <w:rPr>
          <w:rFonts w:asciiTheme="minorHAnsi" w:hAnsiTheme="minorHAnsi" w:cstheme="minorHAnsi"/>
          <w:b/>
          <w:color w:val="auto"/>
          <w:sz w:val="24"/>
          <w:szCs w:val="24"/>
        </w:rPr>
        <w:tab/>
      </w:r>
      <w:r w:rsidRPr="00DE351D">
        <w:rPr>
          <w:rFonts w:asciiTheme="minorHAnsi" w:hAnsiTheme="minorHAnsi" w:cstheme="minorHAnsi"/>
          <w:b/>
          <w:color w:val="auto"/>
          <w:sz w:val="24"/>
        </w:rPr>
        <w:t>Kitos politikos sritys ir bendradarbiavimo galimybės</w:t>
      </w:r>
    </w:p>
    <w:p w:rsidR="00E01D16" w:rsidRPr="00DE351D" w:rsidRDefault="00E01D16">
      <w:pPr>
        <w:rPr>
          <w:rFonts w:eastAsiaTheme="majorEastAsia" w:cstheme="minorHAnsi"/>
          <w:lang w:val="en-GB"/>
        </w:rPr>
      </w:pPr>
    </w:p>
    <w:p w:rsidR="00E01D16" w:rsidRPr="00DE351D" w:rsidRDefault="00E01D16" w:rsidP="007D6282">
      <w:pPr>
        <w:spacing w:after="0"/>
        <w:rPr>
          <w:rFonts w:cstheme="minorHAnsi"/>
          <w:bCs/>
        </w:rPr>
      </w:pPr>
      <w:r w:rsidRPr="00DE351D">
        <w:rPr>
          <w:rFonts w:cstheme="minorHAnsi"/>
        </w:rPr>
        <w:t xml:space="preserve">Šiuo metu Užimtumo, socialinių reikalų ir įtraukties GD darbotvarkėje numatyta keletas kitų iniciatyvų, pavyzdžiui: </w:t>
      </w:r>
    </w:p>
    <w:p w:rsidR="007A1EBE" w:rsidRPr="00DE351D" w:rsidRDefault="007A1EBE" w:rsidP="007D6282">
      <w:pPr>
        <w:spacing w:after="0"/>
        <w:rPr>
          <w:rFonts w:cstheme="minorHAnsi"/>
          <w:bCs/>
          <w:lang w:val="en-GB"/>
        </w:rPr>
      </w:pPr>
    </w:p>
    <w:p w:rsidR="00457987" w:rsidRPr="00DE351D" w:rsidRDefault="007A1EBE" w:rsidP="007D6282">
      <w:pPr>
        <w:pStyle w:val="ListParagraph"/>
        <w:numPr>
          <w:ilvl w:val="0"/>
          <w:numId w:val="33"/>
        </w:numPr>
        <w:spacing w:after="0" w:line="288" w:lineRule="auto"/>
        <w:ind w:left="360"/>
        <w:jc w:val="both"/>
        <w:rPr>
          <w:rFonts w:asciiTheme="minorHAnsi" w:hAnsiTheme="minorHAnsi" w:cstheme="minorHAnsi"/>
        </w:rPr>
      </w:pPr>
      <w:r w:rsidRPr="00DE351D">
        <w:rPr>
          <w:rFonts w:asciiTheme="minorHAnsi" w:hAnsiTheme="minorHAnsi" w:cstheme="minorHAnsi"/>
        </w:rPr>
        <w:t>Socialinės ekonomikos veiksmų planas, kurį tikimasi parengti 2021 m. Bendradarbiaujant būtų galima ieškoti naujų veiklos rūšių socialinės įtraukties, darbo vietų kūrimo srityse, priežiūros sektoriuje (ankstyvoji vaikų priežiūra ir vyresnio amžiaus žmonių priežiūra), kitų socialinių paslaugų ir socialinės ekonomikos inovacijų regioniniu ir tarpregioniniu lygmeniu srityse.</w:t>
      </w:r>
    </w:p>
    <w:p w:rsidR="00E01D16" w:rsidRPr="00DE351D" w:rsidRDefault="007A1EBE" w:rsidP="007D6282">
      <w:pPr>
        <w:pStyle w:val="ListParagraph"/>
        <w:numPr>
          <w:ilvl w:val="0"/>
          <w:numId w:val="33"/>
        </w:numPr>
        <w:spacing w:after="0" w:line="288" w:lineRule="auto"/>
        <w:ind w:left="360"/>
        <w:jc w:val="both"/>
        <w:rPr>
          <w:rFonts w:asciiTheme="minorHAnsi" w:hAnsiTheme="minorHAnsi" w:cstheme="minorHAnsi"/>
        </w:rPr>
      </w:pPr>
      <w:r w:rsidRPr="00DE351D">
        <w:rPr>
          <w:rFonts w:asciiTheme="minorHAnsi" w:hAnsiTheme="minorHAnsi" w:cstheme="minorHAnsi"/>
        </w:rPr>
        <w:t>Deramas minimalusis darbo užmokestis Europos Sąjungoje, dėl kurio 2020 m. spalio 28 d. Komisija pasiūlė direktyvą.</w:t>
      </w:r>
    </w:p>
    <w:p w:rsidR="00E01D16" w:rsidRPr="00DE351D" w:rsidRDefault="007A1EBE" w:rsidP="007D6282">
      <w:pPr>
        <w:pStyle w:val="ListParagraph"/>
        <w:numPr>
          <w:ilvl w:val="0"/>
          <w:numId w:val="33"/>
        </w:numPr>
        <w:spacing w:after="0" w:line="288" w:lineRule="auto"/>
        <w:ind w:left="360"/>
        <w:jc w:val="both"/>
        <w:rPr>
          <w:rFonts w:asciiTheme="minorHAnsi" w:hAnsiTheme="minorHAnsi" w:cstheme="minorHAnsi"/>
        </w:rPr>
      </w:pPr>
      <w:r w:rsidRPr="00DE351D">
        <w:rPr>
          <w:rFonts w:asciiTheme="minorHAnsi" w:hAnsiTheme="minorHAnsi" w:cstheme="minorHAnsi"/>
        </w:rPr>
        <w:t>Sezoninių darbuotojų darbo sąlygos, dėl kurių 2020 m. Komisija paskelbė gaires.</w:t>
      </w:r>
    </w:p>
    <w:p w:rsidR="00E01D16" w:rsidRPr="00DE351D" w:rsidRDefault="007A1EBE" w:rsidP="007D6282">
      <w:pPr>
        <w:pStyle w:val="ListParagraph"/>
        <w:numPr>
          <w:ilvl w:val="0"/>
          <w:numId w:val="33"/>
        </w:numPr>
        <w:spacing w:after="0" w:line="288" w:lineRule="auto"/>
        <w:ind w:left="360"/>
        <w:jc w:val="both"/>
        <w:rPr>
          <w:rFonts w:asciiTheme="minorHAnsi" w:hAnsiTheme="minorHAnsi" w:cstheme="minorHAnsi"/>
        </w:rPr>
      </w:pPr>
      <w:r w:rsidRPr="00DE351D">
        <w:rPr>
          <w:rFonts w:asciiTheme="minorHAnsi" w:hAnsiTheme="minorHAnsi" w:cstheme="minorHAnsi"/>
        </w:rPr>
        <w:t>Demografinių pokyčių aspektai, priklausantys Užimtumo, socialinių reikalų ir įtraukties GD</w:t>
      </w:r>
      <w:r w:rsidR="00DE351D">
        <w:rPr>
          <w:rFonts w:asciiTheme="minorHAnsi" w:hAnsiTheme="minorHAnsi" w:cstheme="minorHAnsi"/>
        </w:rPr>
        <w:t> </w:t>
      </w:r>
      <w:r w:rsidRPr="00DE351D">
        <w:rPr>
          <w:rFonts w:asciiTheme="minorHAnsi" w:hAnsiTheme="minorHAnsi" w:cstheme="minorHAnsi"/>
        </w:rPr>
        <w:t>kompetencijai.</w:t>
      </w:r>
    </w:p>
    <w:p w:rsidR="007A1EBE" w:rsidRPr="00DE351D" w:rsidRDefault="007A1EBE">
      <w:pPr>
        <w:rPr>
          <w:rFonts w:cstheme="minorHAnsi"/>
          <w:lang w:val="en-GB"/>
        </w:rPr>
      </w:pPr>
    </w:p>
    <w:p w:rsidR="00E01D16" w:rsidRPr="00DE351D" w:rsidRDefault="00E01D16">
      <w:pPr>
        <w:rPr>
          <w:rFonts w:cstheme="minorHAnsi"/>
        </w:rPr>
      </w:pPr>
      <w:r w:rsidRPr="00DE351D">
        <w:rPr>
          <w:rFonts w:cstheme="minorHAnsi"/>
        </w:rPr>
        <w:t>RK sieks paspartinti konsultacijas su vietos ir regionų valdžios institucijomis, kad šiose svarbiose darbo srityse būtų atsižvelgta į jų indėlį. Be to, RK ir Užimtumo, socialinių reikalų ir įtraukties GD sieks intensyviau keistis informacija šiomis temomis.</w:t>
      </w:r>
    </w:p>
    <w:p w:rsidR="00E01D16" w:rsidRPr="00DE351D" w:rsidRDefault="00E01D16">
      <w:pPr>
        <w:rPr>
          <w:rFonts w:cstheme="minorHAnsi"/>
          <w:lang w:val="en-GB"/>
        </w:rPr>
      </w:pPr>
    </w:p>
    <w:p w:rsidR="003E36A3" w:rsidRPr="00DE351D" w:rsidRDefault="003E36A3">
      <w:pPr>
        <w:rPr>
          <w:rFonts w:cstheme="minorHAnsi"/>
        </w:rPr>
      </w:pPr>
      <w:r w:rsidRPr="00DE351D">
        <w:rPr>
          <w:rFonts w:cstheme="minorHAnsi"/>
        </w:rPr>
        <w:lastRenderedPageBreak/>
        <w:t>Siekiant glaudesnio RK ir Užimtumo, socialinių reikalų ir įtraukties GD bendradarbiavimo, gali būti numatytos šios papildomos priemonės:</w:t>
      </w:r>
    </w:p>
    <w:p w:rsidR="005B2DC3" w:rsidRPr="00DE351D" w:rsidRDefault="005B2DC3">
      <w:pPr>
        <w:rPr>
          <w:rFonts w:cstheme="minorHAnsi"/>
          <w:lang w:val="en-GB"/>
        </w:rPr>
      </w:pPr>
    </w:p>
    <w:p w:rsidR="003E36A3" w:rsidRPr="00DE351D" w:rsidRDefault="007A1EBE" w:rsidP="007D6282">
      <w:pPr>
        <w:pStyle w:val="ListParagraph"/>
        <w:numPr>
          <w:ilvl w:val="0"/>
          <w:numId w:val="17"/>
        </w:numPr>
        <w:spacing w:after="0" w:line="288" w:lineRule="auto"/>
        <w:ind w:left="357" w:hanging="357"/>
        <w:jc w:val="both"/>
        <w:rPr>
          <w:rFonts w:asciiTheme="minorHAnsi" w:hAnsiTheme="minorHAnsi" w:cstheme="minorHAnsi"/>
        </w:rPr>
      </w:pPr>
      <w:r w:rsidRPr="00DE351D">
        <w:rPr>
          <w:rFonts w:asciiTheme="minorHAnsi" w:hAnsiTheme="minorHAnsi" w:cstheme="minorHAnsi"/>
        </w:rPr>
        <w:t>nuolatinis politinis dialogas RK plenariniuose ir SEDEC komisijos posėdžiuose;</w:t>
      </w:r>
    </w:p>
    <w:p w:rsidR="003E36A3" w:rsidRPr="00DE351D" w:rsidRDefault="007A1EBE" w:rsidP="007D6282">
      <w:pPr>
        <w:pStyle w:val="ListParagraph"/>
        <w:numPr>
          <w:ilvl w:val="0"/>
          <w:numId w:val="17"/>
        </w:numPr>
        <w:spacing w:after="0" w:line="288" w:lineRule="auto"/>
        <w:ind w:left="357" w:hanging="357"/>
        <w:jc w:val="both"/>
        <w:rPr>
          <w:rFonts w:asciiTheme="minorHAnsi" w:hAnsiTheme="minorHAnsi" w:cstheme="minorHAnsi"/>
        </w:rPr>
      </w:pPr>
      <w:r w:rsidRPr="00DE351D">
        <w:rPr>
          <w:rFonts w:asciiTheme="minorHAnsi" w:hAnsiTheme="minorHAnsi" w:cstheme="minorHAnsi"/>
        </w:rPr>
        <w:t>galimybės RK nariams ir pranešėjams dalyvauti Užimtumo, socialinių reikalų ir įtraukties GD organizuojamose konferencijose ir renginiuose, kuriuose vietos ir regioninė perspektyva teikia pridėtinę vertę, apsvarstymas;</w:t>
      </w:r>
    </w:p>
    <w:p w:rsidR="003E36A3" w:rsidRPr="00DE351D" w:rsidRDefault="007A1EBE" w:rsidP="007D6282">
      <w:pPr>
        <w:pStyle w:val="ListParagraph"/>
        <w:numPr>
          <w:ilvl w:val="0"/>
          <w:numId w:val="17"/>
        </w:numPr>
        <w:spacing w:after="0" w:line="288" w:lineRule="auto"/>
        <w:ind w:left="357" w:hanging="357"/>
        <w:jc w:val="both"/>
        <w:rPr>
          <w:rFonts w:asciiTheme="minorHAnsi" w:hAnsiTheme="minorHAnsi" w:cstheme="minorHAnsi"/>
        </w:rPr>
      </w:pPr>
      <w:r w:rsidRPr="00DE351D">
        <w:rPr>
          <w:rFonts w:asciiTheme="minorHAnsi" w:hAnsiTheme="minorHAnsi" w:cstheme="minorHAnsi"/>
        </w:rPr>
        <w:t>sulaukus prašymo, RK narių informavimas apie prieinamą ES finansavimą ir politinę paramą, siekiant parodyti, kaip ES gali padėti regionams ir miestams žaliosios ir skaitmeninės pertvarkos metu;</w:t>
      </w:r>
    </w:p>
    <w:p w:rsidR="002E7C63" w:rsidRPr="00DE351D" w:rsidRDefault="007A1EBE" w:rsidP="007D6282">
      <w:pPr>
        <w:pStyle w:val="ListParagraph"/>
        <w:numPr>
          <w:ilvl w:val="0"/>
          <w:numId w:val="17"/>
        </w:numPr>
        <w:spacing w:after="0" w:line="288" w:lineRule="auto"/>
        <w:ind w:left="357" w:hanging="357"/>
        <w:jc w:val="both"/>
        <w:rPr>
          <w:rFonts w:asciiTheme="minorHAnsi" w:hAnsiTheme="minorHAnsi" w:cstheme="minorHAnsi"/>
        </w:rPr>
      </w:pPr>
      <w:r w:rsidRPr="00DE351D">
        <w:rPr>
          <w:rFonts w:asciiTheme="minorHAnsi" w:hAnsiTheme="minorHAnsi" w:cstheme="minorHAnsi"/>
        </w:rPr>
        <w:t>jeigu reikia, bendrų komunikacijos priemonių aptarimas;</w:t>
      </w:r>
    </w:p>
    <w:p w:rsidR="006D7CA9" w:rsidRPr="00DE351D" w:rsidRDefault="007A1EBE" w:rsidP="007D6282">
      <w:pPr>
        <w:pStyle w:val="ListParagraph"/>
        <w:numPr>
          <w:ilvl w:val="0"/>
          <w:numId w:val="17"/>
        </w:numPr>
        <w:spacing w:after="0" w:line="288" w:lineRule="auto"/>
        <w:ind w:left="357" w:hanging="357"/>
        <w:jc w:val="both"/>
        <w:rPr>
          <w:rFonts w:asciiTheme="minorHAnsi" w:hAnsiTheme="minorHAnsi" w:cstheme="minorHAnsi"/>
        </w:rPr>
      </w:pPr>
      <w:r w:rsidRPr="00DE351D">
        <w:rPr>
          <w:rFonts w:asciiTheme="minorHAnsi" w:hAnsiTheme="minorHAnsi" w:cstheme="minorHAnsi"/>
        </w:rPr>
        <w:t>sinergijos su kitų GD iniciatyvomis, pavyzdžiui, Pažangiosios specializacijos strategijos teminės platformos, skirtos pramonės modernizavimui, partnerystės socialinės ekonomikos srityje, nagrinėjimas (</w:t>
      </w:r>
      <w:hyperlink r:id="rId15" w:history="1">
        <w:r w:rsidRPr="00DE351D">
          <w:rPr>
            <w:rStyle w:val="Hyperlink"/>
            <w:rFonts w:asciiTheme="minorHAnsi" w:hAnsiTheme="minorHAnsi" w:cstheme="minorHAnsi"/>
          </w:rPr>
          <w:t>https://s3platform.jrc.ec.europa.eu/social-economy</w:t>
        </w:r>
      </w:hyperlink>
      <w:r w:rsidRPr="00DE351D">
        <w:rPr>
          <w:rFonts w:asciiTheme="minorHAnsi" w:hAnsiTheme="minorHAnsi" w:cstheme="minorHAnsi"/>
        </w:rPr>
        <w:t>).</w:t>
      </w:r>
    </w:p>
    <w:p w:rsidR="006D7CA9" w:rsidRPr="00DE351D" w:rsidRDefault="006D7CA9">
      <w:pPr>
        <w:rPr>
          <w:rFonts w:cstheme="minorHAnsi"/>
          <w:lang w:val="en-GB"/>
        </w:rPr>
      </w:pPr>
    </w:p>
    <w:p w:rsidR="006D7CA9" w:rsidRPr="00DE351D" w:rsidRDefault="0068468C" w:rsidP="007D6282">
      <w:pPr>
        <w:pStyle w:val="Heading1"/>
        <w:rPr>
          <w:rFonts w:asciiTheme="minorHAnsi" w:eastAsia="Times New Roman" w:hAnsiTheme="minorHAnsi" w:cstheme="minorHAnsi"/>
          <w:b/>
          <w:color w:val="000000" w:themeColor="text1"/>
          <w:sz w:val="24"/>
          <w:szCs w:val="24"/>
        </w:rPr>
      </w:pPr>
      <w:r w:rsidRPr="00DE351D">
        <w:rPr>
          <w:rFonts w:asciiTheme="minorHAnsi" w:hAnsiTheme="minorHAnsi" w:cstheme="minorHAnsi"/>
          <w:b/>
          <w:color w:val="000000" w:themeColor="text1"/>
          <w:sz w:val="24"/>
          <w:szCs w:val="24"/>
        </w:rPr>
        <w:t xml:space="preserve">4. </w:t>
      </w:r>
      <w:r w:rsidRPr="00DE351D">
        <w:rPr>
          <w:rFonts w:asciiTheme="minorHAnsi" w:hAnsiTheme="minorHAnsi" w:cstheme="minorHAnsi"/>
          <w:b/>
          <w:color w:val="000000" w:themeColor="text1"/>
          <w:sz w:val="24"/>
          <w:szCs w:val="24"/>
        </w:rPr>
        <w:tab/>
        <w:t>Tolesni veiksmai</w:t>
      </w:r>
    </w:p>
    <w:p w:rsidR="006D7CA9" w:rsidRPr="00DE351D" w:rsidRDefault="006D7CA9" w:rsidP="007D6282">
      <w:pPr>
        <w:keepNext/>
        <w:rPr>
          <w:rFonts w:cstheme="minorHAnsi"/>
          <w:lang w:val="en-GB"/>
        </w:rPr>
      </w:pPr>
    </w:p>
    <w:p w:rsidR="000F448C" w:rsidRPr="003814FB" w:rsidRDefault="00DC0DF4" w:rsidP="007D6282">
      <w:pPr>
        <w:jc w:val="both"/>
      </w:pPr>
      <w:r w:rsidRPr="00DE351D">
        <w:rPr>
          <w:rFonts w:cstheme="minorHAnsi"/>
        </w:rPr>
        <w:t>Tiek Užimtumo, socialinių reikalų ir įtraukties GD, tiek RK paskirs kontaktinius asmenis, kurie išsamiai apibrėš „Europos vietos lygmens darbo mugių“ koncepciją ir įgyvendinimo aspektus, taip pat užtikrins sklandų bendrada</w:t>
      </w:r>
      <w:r>
        <w:t>rbiavimą ir veiksmų koordinavimą administraciniu lygmeniu.</w:t>
      </w:r>
    </w:p>
    <w:sectPr w:rsidR="000F448C" w:rsidRPr="003814F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9A5ECF">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https://ec.europa.eu/commission/sites/beta-political/files/reflection-paper-social-dimension-europe_lt.pdf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ab/>
      </w:r>
      <w:hyperlink r:id="rId2" w:history="1">
        <w:r>
          <w:rPr>
            <w:rStyle w:val="Hyperlink"/>
            <w:sz w:val="16"/>
            <w:szCs w:val="16"/>
          </w:rPr>
          <w:t>https://eur-lex.europa.eu/LexUriServ/LexUriServ.do?uri=OJ:C:2012:102:0006:0010:LT:PDF</w:t>
        </w:r>
      </w:hyperlink>
      <w:r>
        <w:t>.</w:t>
      </w:r>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r>
      <w:r>
        <w:rPr>
          <w:sz w:val="16"/>
          <w:szCs w:val="16"/>
        </w:rPr>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Komunikate „Jaunimo užimtumo rėmimas. Tiltas jaunai kartai į darbo rinką“ (COM(2020) 276 final) Komisija paragino valstybes nares skubiai didinti paramą jaunimo užimtumui ir padidinti šiam tikslui skirtą paramos lygį, palyginti su 2014–2020 m. finansavimo laikotarpiu, iki 22 mlrd. EUR.</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r>
      <w:r>
        <w:rPr>
          <w:sz w:val="16"/>
          <w:szCs w:val="16"/>
        </w:rPr>
        <w:t>Taryboje politiškai susitarta dėl Tarybos rekomendacijos „Tiltas į darbo rinką. Sustiprinta Jaunimo garantijų iniciatyva“ ir ji bus priimta iki 2020 m. pabaigos.</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r>
      <w:r>
        <w:rPr>
          <w:sz w:val="16"/>
          <w:szCs w:val="16"/>
        </w:rPr>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8476D"/>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2A"/>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5ECF"/>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E351D"/>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442"/>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9DFAFF"/>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lt-LT"/>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lt-LT"/>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lt-LT"/>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lt-LT"/>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lt-LT"/>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lt-LT"/>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lt-LT"/>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lt-LT"/>
    </w:rPr>
  </w:style>
  <w:style w:type="character" w:customStyle="1" w:styleId="Heading3Char">
    <w:name w:val="Heading 3 Char"/>
    <w:basedOn w:val="DefaultParagraphFont"/>
    <w:link w:val="Heading3"/>
    <w:rsid w:val="00A31CB4"/>
    <w:rPr>
      <w:lang w:val="lt-LT"/>
    </w:rPr>
  </w:style>
  <w:style w:type="character" w:customStyle="1" w:styleId="Heading4Char">
    <w:name w:val="Heading 4 Char"/>
    <w:basedOn w:val="DefaultParagraphFont"/>
    <w:link w:val="Heading4"/>
    <w:rsid w:val="00A31CB4"/>
    <w:rPr>
      <w:lang w:val="lt-LT"/>
    </w:rPr>
  </w:style>
  <w:style w:type="character" w:customStyle="1" w:styleId="Heading5Char">
    <w:name w:val="Heading 5 Char"/>
    <w:basedOn w:val="DefaultParagraphFont"/>
    <w:link w:val="Heading5"/>
    <w:rsid w:val="00A31CB4"/>
    <w:rPr>
      <w:lang w:val="lt-LT"/>
    </w:rPr>
  </w:style>
  <w:style w:type="character" w:customStyle="1" w:styleId="Heading6Char">
    <w:name w:val="Heading 6 Char"/>
    <w:basedOn w:val="DefaultParagraphFont"/>
    <w:link w:val="Heading6"/>
    <w:rsid w:val="00A31CB4"/>
    <w:rPr>
      <w:lang w:val="lt-LT"/>
    </w:rPr>
  </w:style>
  <w:style w:type="character" w:customStyle="1" w:styleId="Heading7Char">
    <w:name w:val="Heading 7 Char"/>
    <w:basedOn w:val="DefaultParagraphFont"/>
    <w:link w:val="Heading7"/>
    <w:rsid w:val="00A31CB4"/>
    <w:rPr>
      <w:lang w:val="lt-LT"/>
    </w:rPr>
  </w:style>
  <w:style w:type="character" w:customStyle="1" w:styleId="Heading8Char">
    <w:name w:val="Heading 8 Char"/>
    <w:basedOn w:val="DefaultParagraphFont"/>
    <w:link w:val="Heading8"/>
    <w:rsid w:val="00A31CB4"/>
    <w:rPr>
      <w:lang w:val="lt-LT"/>
    </w:rPr>
  </w:style>
  <w:style w:type="character" w:customStyle="1" w:styleId="Heading9Char">
    <w:name w:val="Heading 9 Char"/>
    <w:basedOn w:val="DefaultParagraphFont"/>
    <w:link w:val="Heading9"/>
    <w:rsid w:val="00A31CB4"/>
    <w:rPr>
      <w:lang w:val="lt-LT"/>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LT:PDF" TargetMode="External"/><Relationship Id="rId1" Type="http://schemas.openxmlformats.org/officeDocument/2006/relationships/hyperlink" Target="https://ec.europa.eu/commission/sites/beta-political/files/reflection-paper-social-dimension-europe_lt.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3T5AXJEHYTWU-1246943346-5511</_dlc_DocId>
    <_dlc_DocIdUrl xmlns="0b452354-65a4-4dd6-8824-e6b830247e3e">
      <Url>http://dm2016/cor/2020/_layouts/15/DocIdRedir.aspx?ID=3T5AXJEHYTWU-1246943346-5511</Url>
      <Description>3T5AXJEHYTWU-1246943346-5511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135FBB72-EAB1-46B5-8B43-6E40B5B3EFD7}"/>
</file>

<file path=customXml/itemProps2.xml><?xml version="1.0" encoding="utf-8"?>
<ds:datastoreItem xmlns:ds="http://schemas.openxmlformats.org/officeDocument/2006/customXml" ds:itemID="{BD2F9811-4604-4B70-BCB6-5D238B4D0468}"/>
</file>

<file path=customXml/itemProps3.xml><?xml version="1.0" encoding="utf-8"?>
<ds:datastoreItem xmlns:ds="http://schemas.openxmlformats.org/officeDocument/2006/customXml" ds:itemID="{C1A85CA1-9E9B-4DAC-9D67-523952C82E4C}"/>
</file>

<file path=customXml/itemProps4.xml><?xml version="1.0" encoding="utf-8"?>
<ds:datastoreItem xmlns:ds="http://schemas.openxmlformats.org/officeDocument/2006/customXml" ds:itemID="{09A9F21E-FBBC-47D5-A349-D9DBC9D87C0E}"/>
</file>

<file path=docProps/app.xml><?xml version="1.0" encoding="utf-8"?>
<Properties xmlns="http://schemas.openxmlformats.org/officeDocument/2006/extended-properties" xmlns:vt="http://schemas.openxmlformats.org/officeDocument/2006/docPropsVTypes">
  <Template>Styles</Template>
  <TotalTime>0</TotalTime>
  <Pages>9</Pages>
  <Words>2735</Words>
  <Characters>15590</Characters>
  <Application>Microsoft Office Word</Application>
  <DocSecurity>0</DocSecurity>
  <Lines>129</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 - EMPL GD jungtinis dokumentas -  tvirtesnio bendradarbiavimo sritys</dc:title>
  <dc:creator>Thomas Wobben</dc:creator>
  <cp:keywords>COR-2020-04835-00-01-TCD-TRA-EN</cp:keywords>
  <dc:description>Rapporteur:  - Original language: EN - Date of document: 20/11/2020 - Date of meeting: 25/11/2020 - External documents:  - Administrator:  PETRAS Georgios</dc:description>
  <cp:lastModifiedBy>Acaite Ugne</cp:lastModifiedBy>
  <cp:revision>2</cp:revision>
  <cp:lastPrinted>2020-10-07T12:59:00Z</cp:lastPrinted>
  <dcterms:created xsi:type="dcterms:W3CDTF">2020-11-20T15:05:00Z</dcterms:created>
  <dcterms:modified xsi:type="dcterms:W3CDTF">2020-11-20T15:05:00Z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75f88e94-44ff-411e-b25a-28d2c76bea50</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LV|46f7e311-5d9f-4663-b433-18aeccb7ace7;PT|50ccc04a-eadd-42ae-a0cb-acaf45f812ba;EN|f2175f21-25d7-44a3-96da-d6a61b075e1b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5;#Unrestricted|826e22d7-d029-4ec0-a450-0c28ff673572;#31;#LV|46f7e311-5d9f-4663-b433-18aeccb7ace7;#8;#TRA|150d2a88-1431-44e6-a8ca-0bb753ab8672;#7;#EN|f2175f21-25d7-44a3-96da-d6a61b075e1b;#6;#Final|ea5e6674-7b27-4bac-b091-73adbb394efe;#22;#TCD|cd9d6eb6-3f4f-424a-b2d1-57c9d450eaaf;#1;#CoR|cb2d75ef-4a7d-4393-b797-49ed6298a5ea;#35;#PT|50ccc04a-eadd-42ae-a0cb-acaf45f812b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19;#LT|a7ff5ce7-6123-4f68-865a-a57c31810414</vt:lpwstr>
  </property>
  <property fmtid="{D5CDD505-2E9C-101B-9397-08002B2CF9AE}" pid="39" name="_docset_NoMedatataSyncRequired">
    <vt:lpwstr>False</vt:lpwstr>
  </property>
</Properties>
</file>