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r>
        <w:rPr>
          <w:noProof/>
          <w:lang w:val="en-GB" w:eastAsia="zh-TW"/>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eastAsia="zh-TW"/>
        </w:rPr>
        <w:drawing>
          <wp:inline distT="0" distB="0" distL="0" distR="0" wp14:anchorId="1ACC1283" wp14:editId="1D76655F">
            <wp:extent cx="1002474" cy="924834"/>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en-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8729" cy="930604"/>
                    </a:xfrm>
                    <a:prstGeom prst="rect">
                      <a:avLst/>
                    </a:prstGeom>
                  </pic:spPr>
                </pic:pic>
              </a:graphicData>
            </a:graphic>
          </wp:inline>
        </w:drawing>
      </w:r>
    </w:p>
    <w:p w:rsidR="00B87B5D" w:rsidRPr="003814FB" w:rsidRDefault="00C82EBC">
      <w:pPr>
        <w:jc w:val="center"/>
        <w:rPr>
          <w:b/>
          <w:sz w:val="36"/>
          <w:szCs w:val="36"/>
          <w:u w:val="single"/>
        </w:rPr>
      </w:pPr>
      <w:r>
        <w:rPr>
          <w:b/>
          <w:noProof/>
          <w:sz w:val="20"/>
          <w:szCs w:val="36"/>
          <w:u w:val="single"/>
          <w:lang w:val="en-GB" w:eastAsia="zh-TW"/>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LV</w:t>
                      </w:r>
                    </w:p>
                  </w:txbxContent>
                </v:textbox>
                <w10:wrap anchorx="page" anchory="page"/>
              </v:shape>
            </w:pict>
          </mc:Fallback>
        </mc:AlternateContent>
      </w:r>
    </w:p>
    <w:p w:rsidR="0072285A" w:rsidRPr="003814FB" w:rsidRDefault="00C34231">
      <w:pPr>
        <w:jc w:val="center"/>
        <w:rPr>
          <w:b/>
          <w:sz w:val="36"/>
          <w:u w:val="single"/>
        </w:rPr>
      </w:pPr>
      <w:bookmarkStart w:id="0" w:name="_GoBack"/>
      <w:r>
        <w:rPr>
          <w:b/>
          <w:sz w:val="36"/>
          <w:u w:val="single"/>
        </w:rPr>
        <w:t>Jomas ciešākai sadarbībai</w:t>
      </w:r>
      <w:r>
        <w:rPr>
          <w:b/>
          <w:sz w:val="36"/>
          <w:u w:val="single"/>
        </w:rPr>
        <w:br/>
        <w:t>starp Eiropas Reģionu komiteju (RK) un Eiropas Komisijas  Nodarbinātības, sociālo lietu un iekļautības  ģenerāldirektorātu ( EMPL ĢD)</w:t>
      </w:r>
      <w:bookmarkEnd w:id="0"/>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Ievads</w:t>
      </w:r>
    </w:p>
    <w:p w:rsidR="00014693" w:rsidRPr="007D6282" w:rsidRDefault="00014693">
      <w:pPr>
        <w:rPr>
          <w:sz w:val="24"/>
          <w:szCs w:val="24"/>
          <w:lang w:val="en-GB"/>
        </w:rPr>
      </w:pPr>
    </w:p>
    <w:p w:rsidR="00014E6A" w:rsidRPr="007D6282" w:rsidRDefault="00C82EBC">
      <w:pPr>
        <w:rPr>
          <w:color w:val="000000"/>
        </w:rPr>
      </w:pPr>
      <w:r>
        <w:t>Tas, ka “sociāla Eiropa” ir būtisks aspekts ES centienos atbalstīt demokrātiskas, saliedētas, kultūras ziņā daudzveidīgas un labklājīgas sabiedrības veidošanos, ir skaidrs ne tikai kopš Covid-19 krīzes. Tas nozīmē ekonomisku un sociālu progresu, cīņu pret diskrimināciju un sociālo atstumtību, eiropiešu sagatavošanu darba tirgum un iespēju viņiem dzīvot piepildītu dzīvi</w:t>
      </w:r>
      <w:r w:rsidR="00014E6A" w:rsidRPr="007D6282">
        <w:rPr>
          <w:rStyle w:val="FootnoteReference"/>
          <w:lang w:val="en-GB"/>
        </w:rPr>
        <w:footnoteReference w:id="2"/>
      </w:r>
      <w:r>
        <w:t xml:space="preserve">. </w:t>
      </w:r>
    </w:p>
    <w:p w:rsidR="00014E6A" w:rsidRPr="007D6282" w:rsidRDefault="00014E6A">
      <w:pPr>
        <w:rPr>
          <w:color w:val="000000"/>
          <w:lang w:val="en-GB"/>
        </w:rPr>
      </w:pPr>
    </w:p>
    <w:p w:rsidR="00014E6A" w:rsidRPr="003814FB" w:rsidRDefault="00014E6A" w:rsidP="005D5EB3">
      <w:pPr>
        <w:jc w:val="both"/>
      </w:pPr>
      <w:r>
        <w:t xml:space="preserve">Lai gan Eiropas Reģionu komiteja (RK) un Nodarbinātības, sociālo lietu un iekļautības ģenerāldirektorāts (EMPL ĢD) iepriekš ir sadarbojušies vairākās jomās, ir skaidrs, ka gaidāmie izaicinājumi un atbildīgā komisāra spēcīgā interese rada iespēju šajā jomā pacelt Komisijas un RK sadarbību jaunā līmenī. </w:t>
      </w:r>
    </w:p>
    <w:p w:rsidR="00014E6A" w:rsidRPr="003814FB" w:rsidRDefault="00014E6A">
      <w:pPr>
        <w:rPr>
          <w:lang w:val="en-GB"/>
        </w:rPr>
      </w:pPr>
    </w:p>
    <w:p w:rsidR="00014E6A" w:rsidRPr="007D6282" w:rsidRDefault="00014E6A" w:rsidP="007D6282">
      <w:pPr>
        <w:pStyle w:val="ListParagraph"/>
        <w:numPr>
          <w:ilvl w:val="0"/>
          <w:numId w:val="26"/>
        </w:numPr>
        <w:ind w:left="360"/>
        <w:jc w:val="both"/>
      </w:pPr>
      <w:r>
        <w:rPr>
          <w:rFonts w:ascii="Times New Roman" w:hAnsi="Times New Roman"/>
        </w:rPr>
        <w:t xml:space="preserve">Komisārs Nicolas Schmit ir izrādījis ievērojamu interesi par RK un mazāk nekā gada laikā jau ir piedalījies divās plenārsēdēs un Sociālās politikas, izglītības, nodarbinātības, pētniecības un kultūras komisijas (SEDEC) sanāksmē. </w:t>
      </w:r>
    </w:p>
    <w:p w:rsidR="00164C40" w:rsidRPr="007D6282" w:rsidRDefault="00164C40" w:rsidP="007D6282">
      <w:pPr>
        <w:pStyle w:val="ListParagraph"/>
        <w:numPr>
          <w:ilvl w:val="0"/>
          <w:numId w:val="26"/>
        </w:numPr>
        <w:ind w:left="360"/>
        <w:jc w:val="both"/>
      </w:pPr>
      <w:r>
        <w:rPr>
          <w:rFonts w:ascii="Times New Roman" w:hAnsi="Times New Roman"/>
        </w:rPr>
        <w:t>Joost Korte (EMPL ĢD ģenerāldirektors) 2020. gada februārī piedalījās SEDEC sanāksmē un tajā uzstājās ar runu, mudinot RK locekļus sniegt atsauksmes, kā prasīts Komisijas paziņojumā par spēcīgu sociālo Eiropu taisnīgai pārejai (SEDEC jau gatavo atzinumu par šo tematu).</w:t>
      </w:r>
    </w:p>
    <w:p w:rsidR="00164C40" w:rsidRPr="007D6282" w:rsidRDefault="00164C40" w:rsidP="007D6282">
      <w:pPr>
        <w:pStyle w:val="ListParagraph"/>
        <w:numPr>
          <w:ilvl w:val="0"/>
          <w:numId w:val="26"/>
        </w:numPr>
        <w:ind w:left="360"/>
        <w:jc w:val="both"/>
      </w:pPr>
      <w:r>
        <w:rPr>
          <w:rFonts w:ascii="Times New Roman" w:hAnsi="Times New Roman"/>
        </w:rPr>
        <w:t>Gan komisārs, gan ģenerāldirektors skaidri pauda, ka gaida RK aktīvu līdzdalību Porto sociālā samita (2021. gada maijs) un rīcības plāna Eiropas sociālo tiesību pīlāra īstenošanai sagatavošanā.</w:t>
      </w:r>
    </w:p>
    <w:p w:rsidR="006A6308" w:rsidRPr="007D6282" w:rsidRDefault="006A6308" w:rsidP="007D6282">
      <w:pPr>
        <w:pStyle w:val="ListParagraph"/>
        <w:numPr>
          <w:ilvl w:val="0"/>
          <w:numId w:val="26"/>
        </w:numPr>
        <w:ind w:left="360"/>
        <w:jc w:val="both"/>
      </w:pPr>
      <w:r>
        <w:rPr>
          <w:rFonts w:ascii="Times New Roman" w:hAnsi="Times New Roman"/>
        </w:rPr>
        <w:t>Savstarpējas sadarbības gars tika vēl vairāk veicināts komisāra un RK priekšsēdētāja tikšanās laikā (9. jūlijā), kurā tika apstiprināts, ka abām iestādēm būtu jāatrod vairāk iespēju sadarbībai.</w:t>
      </w:r>
    </w:p>
    <w:p w:rsidR="00864E4E" w:rsidRPr="003814FB" w:rsidRDefault="00864E4E" w:rsidP="005D5EB3">
      <w:pPr>
        <w:jc w:val="both"/>
      </w:pPr>
      <w:r>
        <w:lastRenderedPageBreak/>
        <w:t>Protokolā par sadarbību starp Eiropas Komisiju un Reģionu komiteju (2012/C 102/02)</w:t>
      </w:r>
      <w:r w:rsidRPr="007D6282">
        <w:rPr>
          <w:lang w:val="en-GB"/>
        </w:rPr>
        <w:footnoteReference w:id="3"/>
      </w:r>
      <w:r>
        <w:t xml:space="preserve"> Komisija un RK vienojās pastiprināt sadarbību. RK un EMPL ĢD kopīgajā paziņojumā ir noteiktas politiskās jomas pastiprinātai sadarbībai un galvenie instrumenti.</w:t>
      </w:r>
    </w:p>
    <w:p w:rsidR="003D208F" w:rsidRPr="003814FB" w:rsidRDefault="003D208F">
      <w:pPr>
        <w:rPr>
          <w:lang w:val="en-GB"/>
        </w:rPr>
      </w:pPr>
    </w:p>
    <w:p w:rsidR="00EB524C" w:rsidRPr="007D6282" w:rsidRDefault="00EA2779" w:rsidP="007D6282">
      <w:pPr>
        <w:pStyle w:val="Heading1"/>
        <w:numPr>
          <w:ilvl w:val="0"/>
          <w:numId w:val="22"/>
        </w:numPr>
        <w:spacing w:before="0"/>
        <w:ind w:left="567" w:hanging="567"/>
        <w:rPr>
          <w:rFonts w:ascii="Times New Roman" w:hAnsi="Times New Roman"/>
          <w:b/>
          <w:color w:val="auto"/>
          <w:sz w:val="24"/>
        </w:rPr>
      </w:pPr>
      <w:r>
        <w:rPr>
          <w:rFonts w:ascii="Times New Roman" w:hAnsi="Times New Roman"/>
          <w:b/>
          <w:color w:val="auto"/>
          <w:sz w:val="24"/>
        </w:rPr>
        <w:t>Galvenās tēmas ciešākai sadarbībai starp RK un EMPL ĢD</w:t>
      </w:r>
    </w:p>
    <w:p w:rsidR="004D765D" w:rsidRPr="003814FB" w:rsidRDefault="004D765D" w:rsidP="007D6282">
      <w:pPr>
        <w:keepNext/>
        <w:rPr>
          <w:lang w:val="en-GB"/>
        </w:rPr>
      </w:pPr>
    </w:p>
    <w:p w:rsidR="00964812" w:rsidRPr="007D6282" w:rsidRDefault="008E118B">
      <w:r>
        <w:t>Ņemot vērā plašo tematisko loku saistībā ar sociālo dimensiju, kā arī pieejamos resursus, ir svarīgi pastiprināto sadarbību visvairāk vērst uz jomām, kurās RK var sniegt skaidru pievienoto vērtību un kurās teritoriālā dimensija ir visspēcīgākā. Tādējādi, neliedzot sadarbību citās jomās, it īpaši saistībā ar sociālās ekonomikas veicināšanu, pastiprinātas sadarbības jomas ir šādas:</w:t>
      </w:r>
    </w:p>
    <w:p w:rsidR="003D208F" w:rsidRPr="007D6282" w:rsidRDefault="003D208F">
      <w:pPr>
        <w:rPr>
          <w:lang w:val="en-GB"/>
        </w:rPr>
      </w:pPr>
    </w:p>
    <w:p w:rsidR="00EA2779" w:rsidRPr="007D6282" w:rsidRDefault="00EA2779" w:rsidP="007D6282">
      <w:pPr>
        <w:pStyle w:val="Heading2"/>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Eiropas sociālo tiesību pīlārs</w:t>
      </w:r>
    </w:p>
    <w:p w:rsidR="00EA2779" w:rsidRPr="007D6282" w:rsidRDefault="00EA2779" w:rsidP="007D6282">
      <w:pPr>
        <w:rPr>
          <w:b/>
          <w:u w:val="single"/>
          <w:lang w:val="en-GB"/>
        </w:rPr>
      </w:pPr>
    </w:p>
    <w:p w:rsidR="005366D6" w:rsidRPr="007D6282" w:rsidRDefault="005366D6" w:rsidP="007D6282">
      <w:pPr>
        <w:rPr>
          <w:szCs w:val="24"/>
        </w:rPr>
      </w:pPr>
      <w:r>
        <w:t>Eiropas sociālo tiesību pīlārs ir vienprātības dokuments, kas atspoguļo ES nostāju nodarbinātības un sociālo lietu jomā.</w:t>
      </w:r>
      <w:r>
        <w:rPr>
          <w:i/>
          <w:szCs w:val="24"/>
        </w:rPr>
        <w:t xml:space="preserve"> </w:t>
      </w:r>
      <w:r>
        <w:t>Tas tika paziņots augstākajā politiskajā līmenī un jau ir izraisījis tālejošus pasākumus ES, valstu, reģionālā un vietējā līmenī, stiprinot ES sociālo dimensiju. Ar 2020. gada 27. maija paziņojumu Komisija ir arī noteikusi, ka tās ceļveža taisnīgai un iekļaujošai atveseļošanai no Covid-19 krīzes centrā ir Eiropas sociālo tiesību pīlārs.</w:t>
      </w:r>
    </w:p>
    <w:p w:rsidR="005366D6" w:rsidRPr="007D6282" w:rsidRDefault="005366D6">
      <w:pPr>
        <w:rPr>
          <w:szCs w:val="24"/>
          <w:lang w:val="en-GB" w:eastAsia="fr-BE"/>
        </w:rPr>
      </w:pPr>
    </w:p>
    <w:p w:rsidR="005366D6" w:rsidRPr="007D6282" w:rsidRDefault="005366D6">
      <w:pPr>
        <w:rPr>
          <w:szCs w:val="24"/>
        </w:rPr>
      </w:pPr>
      <w:r>
        <w:t xml:space="preserve">Stratēģiskajā programmā 2019.–2024. gadam, par ko Eiropadome vienojās 2019. gada jūnijā, aicināts pīlāru īstenot ES un dalībvalstu līmenī, pienācīgi ņemot vērā attiecīgās kompetences. </w:t>
      </w:r>
    </w:p>
    <w:p w:rsidR="003D208F" w:rsidRPr="007D6282" w:rsidRDefault="003D208F">
      <w:pPr>
        <w:rPr>
          <w:szCs w:val="24"/>
          <w:lang w:val="en-GB" w:eastAsia="en-GB"/>
        </w:rPr>
      </w:pPr>
    </w:p>
    <w:p w:rsidR="005366D6" w:rsidRPr="007D6282" w:rsidRDefault="005366D6">
      <w:pPr>
        <w:rPr>
          <w:szCs w:val="24"/>
        </w:rPr>
      </w:pPr>
      <w:r>
        <w:t>Priekšsēdētājas Ursula von der Leyen politiskās pamatnostādnes Komisijai ietver apņemšanos ierosināt rīcības plānu Eiropas sociālo tiesību pīlāra pilnīgai īstenošanai. Ar Komisijas 2020. gada 14. janvāra paziņojumu par spēcīgu sociālo Eiropu taisnīgai pārejai ierosināti vairāki nozīmīgi pasākumi 2020. un 2021. gadam un uzsākta plašs apspriešanas un iesaistīšanās process, lai sekmētu gatavošanos rīcības plānam. Vajadzība pēc sociālā atbalsta un aizsardzības ir vēl aktuālāka pašreizējās Covid-19 pandēmijas laikā, jo dalībvalstu sociālā atbalsta sistēmas ir pakļautas milzīgam spiedienam un ES sociālajai struktūrai draud sabrukums.</w:t>
      </w:r>
    </w:p>
    <w:p w:rsidR="005366D6" w:rsidRPr="007D6282" w:rsidRDefault="005366D6">
      <w:pPr>
        <w:rPr>
          <w:szCs w:val="24"/>
          <w:lang w:val="en-GB" w:eastAsia="en-GB"/>
        </w:rPr>
      </w:pPr>
    </w:p>
    <w:p w:rsidR="005366D6" w:rsidRPr="007D6282" w:rsidRDefault="005366D6">
      <w:pPr>
        <w:autoSpaceDE w:val="0"/>
        <w:autoSpaceDN w:val="0"/>
        <w:adjustRightInd w:val="0"/>
        <w:rPr>
          <w:szCs w:val="24"/>
        </w:rPr>
      </w:pPr>
      <w:r>
        <w:t xml:space="preserve">Komisijas mērķis ir nākt klajā ar rīcības plānu 2021. gada sākumā un tiekties uz tā apstiprināšanu augstākajā politiskajā līmenī sociālajā samitā, ko 2021. gada maijā rīkos Padomes prezidentvalsts Portugāle. </w:t>
      </w:r>
    </w:p>
    <w:p w:rsidR="00CE0C02" w:rsidRPr="007D6282" w:rsidRDefault="00CE0C02">
      <w:pPr>
        <w:rPr>
          <w:bCs/>
          <w:u w:val="single"/>
          <w:lang w:val="en-GB"/>
        </w:rPr>
      </w:pPr>
    </w:p>
    <w:p w:rsidR="00EA2779" w:rsidRPr="007D6282" w:rsidRDefault="00B40809" w:rsidP="007D6282">
      <w:pPr>
        <w:rPr>
          <w:bCs/>
        </w:rPr>
      </w:pPr>
      <w:r>
        <w:lastRenderedPageBreak/>
        <w:t>Ir skaidrs, ka vietējām un reģionālajām pašvaldībām ir nozīmīga loma nodarbinātības un sociālās politikas veidošanā un īstenošanā Eiropas Savienībā. Reģionos Covid-19 izraisītās krīzes ietekme nav vienāda un ir atkarīga no tautsaimniecības struktūras un vīrusa ietekmes uz cilvēku veselību. Vietējās un reģionālās pašvaldības var sekmēt krīzes pārvarēšanu, kas dos iespēju risināt pirmskrīzes un pēckrīzes problēmas sociālās un teritoriālās kohēzijas jomā. Tāpēc ir jāiesaista vietējās un reģionālās pašvaldības, it īpaši ar:</w:t>
      </w:r>
    </w:p>
    <w:p w:rsidR="00CB78E1" w:rsidRPr="007D6282" w:rsidRDefault="00CB78E1" w:rsidP="007D6282">
      <w:pPr>
        <w:rPr>
          <w:bCs/>
          <w:u w:val="single"/>
          <w:lang w:val="en-GB"/>
        </w:rPr>
      </w:pPr>
    </w:p>
    <w:p w:rsidR="00CB78E1" w:rsidRPr="007D6282" w:rsidRDefault="00F771E0" w:rsidP="007D6282">
      <w:pPr>
        <w:pStyle w:val="ListParagraph"/>
        <w:numPr>
          <w:ilvl w:val="0"/>
          <w:numId w:val="19"/>
        </w:numPr>
        <w:spacing w:after="0" w:line="288" w:lineRule="auto"/>
        <w:ind w:left="360"/>
        <w:jc w:val="both"/>
      </w:pPr>
      <w:r>
        <w:rPr>
          <w:rFonts w:ascii="Times New Roman" w:hAnsi="Times New Roman"/>
        </w:rPr>
        <w:t>RK atzinumu par spēcīgu sociālo Eiropu taisnīgai pārejai (ziņotāja Anne Karjalainen (FI/PSE), pieņemts 2020. gada oktobra plenārsesijā), kurā pausta RK kopējā reakcija uz Komisijas paziņojumu;</w:t>
      </w:r>
    </w:p>
    <w:p w:rsidR="00421A56" w:rsidRPr="007D6282" w:rsidRDefault="00421A56" w:rsidP="007D6282">
      <w:pPr>
        <w:pStyle w:val="ListParagraph"/>
        <w:spacing w:after="0" w:line="288" w:lineRule="auto"/>
        <w:ind w:left="360"/>
        <w:jc w:val="both"/>
        <w:rPr>
          <w:bCs/>
        </w:rPr>
      </w:pPr>
    </w:p>
    <w:p w:rsidR="00176CAE" w:rsidRPr="007D6282" w:rsidRDefault="00176CAE" w:rsidP="007D6282">
      <w:pPr>
        <w:pStyle w:val="ListParagraph"/>
        <w:numPr>
          <w:ilvl w:val="0"/>
          <w:numId w:val="19"/>
        </w:numPr>
        <w:spacing w:after="0" w:line="288" w:lineRule="auto"/>
        <w:ind w:left="360"/>
        <w:jc w:val="both"/>
      </w:pPr>
      <w:r>
        <w:rPr>
          <w:rFonts w:ascii="Times New Roman" w:hAnsi="Times New Roman"/>
        </w:rPr>
        <w:t>RK atzinumu “Plāns aprūpētāju un aprūpes nākotnei — vietējās un reģionālās iespējas risināt Eiropas problēmu” (ziņotājs vēl jāapstiprina);</w:t>
      </w:r>
    </w:p>
    <w:p w:rsidR="00E136C4" w:rsidRPr="007D6282" w:rsidRDefault="00E136C4" w:rsidP="007D6282">
      <w:pPr>
        <w:pStyle w:val="ListParagraph"/>
        <w:spacing w:after="0" w:line="288" w:lineRule="auto"/>
        <w:ind w:left="360"/>
        <w:jc w:val="both"/>
      </w:pPr>
    </w:p>
    <w:p w:rsidR="00F771E0" w:rsidRPr="007D6282" w:rsidRDefault="00421A56" w:rsidP="007D6282">
      <w:pPr>
        <w:pStyle w:val="ListParagraph"/>
        <w:numPr>
          <w:ilvl w:val="0"/>
          <w:numId w:val="19"/>
        </w:numPr>
        <w:spacing w:after="0" w:line="288" w:lineRule="auto"/>
        <w:ind w:left="360"/>
        <w:jc w:val="both"/>
      </w:pPr>
      <w:r>
        <w:rPr>
          <w:rFonts w:ascii="Times New Roman" w:hAnsi="Times New Roman"/>
          <w:color w:val="000000"/>
        </w:rPr>
        <w:t xml:space="preserve"> 2020. gada Eiropas Reģionu un pilsētu nedēļas pasākumu “Sociālais nodrošinājums platformā nodarbinātajiem darbiniekiem — izaicinājumi un iespējas”, piedaloties EMPL ĢD;</w:t>
      </w:r>
    </w:p>
    <w:p w:rsidR="00267B85" w:rsidRPr="007D6282" w:rsidRDefault="00267B85" w:rsidP="007D6282">
      <w:pPr>
        <w:pStyle w:val="ListParagraph"/>
        <w:spacing w:after="0" w:line="288" w:lineRule="auto"/>
        <w:ind w:left="360"/>
        <w:jc w:val="both"/>
      </w:pPr>
    </w:p>
    <w:p w:rsidR="00512960" w:rsidRPr="007D6282" w:rsidRDefault="00F5129F" w:rsidP="007D6282">
      <w:pPr>
        <w:pStyle w:val="ListParagraph"/>
        <w:numPr>
          <w:ilvl w:val="0"/>
          <w:numId w:val="19"/>
        </w:numPr>
        <w:spacing w:after="0" w:line="288" w:lineRule="auto"/>
        <w:ind w:left="360"/>
        <w:jc w:val="both"/>
        <w:rPr>
          <w:b/>
          <w:u w:val="single"/>
        </w:rPr>
      </w:pPr>
      <w:r>
        <w:rPr>
          <w:rFonts w:ascii="Times New Roman" w:hAnsi="Times New Roman"/>
        </w:rPr>
        <w:t>kopā ar Padomes prezidentvalsti Portugāli Komisija un RK apsvērs iespējas, kā RK piedalīsies sociālajā samitā, lai atspoguļotu Eiropas sociālo tiesību pīlāra īstenošanas teritoriālo dimensiju.</w:t>
      </w:r>
    </w:p>
    <w:p w:rsidR="00151730" w:rsidRPr="007D6282" w:rsidRDefault="00151730" w:rsidP="007D6282">
      <w:pPr>
        <w:rPr>
          <w:lang w:val="en-GB"/>
        </w:rPr>
      </w:pPr>
    </w:p>
    <w:p w:rsidR="00EA2779" w:rsidRPr="007D6282" w:rsidRDefault="00EA2779" w:rsidP="007D6282">
      <w:pPr>
        <w:pStyle w:val="Heading2"/>
        <w:ind w:left="426" w:hanging="426"/>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2.2.</w:t>
      </w:r>
      <w:r>
        <w:rPr>
          <w:rFonts w:ascii="Times New Roman" w:hAnsi="Times New Roman"/>
          <w:b/>
          <w:sz w:val="24"/>
          <w:szCs w:val="24"/>
        </w:rPr>
        <w:tab/>
      </w:r>
      <w:r>
        <w:rPr>
          <w:rFonts w:ascii="Times New Roman" w:hAnsi="Times New Roman"/>
          <w:b/>
          <w:sz w:val="24"/>
          <w:szCs w:val="32"/>
        </w:rPr>
        <w:t xml:space="preserve">Eiropas Sociālā fonda Plus (ESF+) un </w:t>
      </w:r>
      <w:r>
        <w:rPr>
          <w:rFonts w:ascii="Times New Roman" w:hAnsi="Times New Roman"/>
          <w:b/>
          <w:i/>
          <w:sz w:val="24"/>
          <w:szCs w:val="32"/>
        </w:rPr>
        <w:t>REACT-EU</w:t>
      </w:r>
      <w:r>
        <w:rPr>
          <w:rFonts w:ascii="Times New Roman" w:hAnsi="Times New Roman"/>
          <w:b/>
          <w:sz w:val="24"/>
          <w:szCs w:val="32"/>
        </w:rPr>
        <w:t xml:space="preserve"> sagatavošana, lai sniegtu pienācīgu finansējumu jauniešu nodarbinātības pasākumiem</w:t>
      </w:r>
    </w:p>
    <w:p w:rsidR="00527019" w:rsidRPr="007D6282" w:rsidRDefault="00527019">
      <w:pPr>
        <w:keepNext/>
        <w:rPr>
          <w:lang w:val="en-GB"/>
        </w:rPr>
      </w:pPr>
    </w:p>
    <w:p w:rsidR="00527019" w:rsidRPr="007D6282" w:rsidRDefault="00527019" w:rsidP="007D6282">
      <w:pPr>
        <w:rPr>
          <w:bCs/>
        </w:rPr>
      </w:pPr>
      <w:r>
        <w:t>Daudzas vietējās un reģionālās pašvaldības pašlaik ir ļoti iesaistītas turpmāko ESF+ programmu sagatavošanā un projektu izstrādē, lai izmantotu ESF+ finansējumu. Ar ESF+ Komisija ierosināja pastiprināt finansējumu jauniešu nodarbinātības pasākumiem dalībvalstīs, kurās jauniešu, kas nemācās, nestrādā un neapgūst arodu, līmenis pārsniedz ES vidējo</w:t>
      </w:r>
      <w:r w:rsidR="006E25E8" w:rsidRPr="007D6282">
        <w:rPr>
          <w:rStyle w:val="FootnoteReference"/>
          <w:bCs/>
          <w:sz w:val="24"/>
          <w:szCs w:val="24"/>
          <w:lang w:val="en-GB"/>
        </w:rPr>
        <w:footnoteReference w:id="4"/>
      </w:r>
      <w:r>
        <w:t xml:space="preserve">. Turklāt jaunā iniciatīva </w:t>
      </w:r>
      <w:r>
        <w:rPr>
          <w:i/>
          <w:iCs/>
        </w:rPr>
        <w:t>REACT-EU</w:t>
      </w:r>
      <w:r>
        <w:t xml:space="preserve"> var atbalstīt jauniešu nodarbinātības pasākumus. Vajadzība pilnībā izmantot šī papildu atbalsta sniegtos ieguvumus ir būtiski svarīga, ņemot vērā pašreizējo pandēmiju un ietekmi, ko tā, ļoti iespējams, varētu radīt uz jauniešu nodarbinātību.</w:t>
      </w:r>
    </w:p>
    <w:p w:rsidR="00CB78E1" w:rsidRPr="007D6282" w:rsidRDefault="00CB78E1">
      <w:pPr>
        <w:rPr>
          <w:bCs/>
          <w:u w:val="single"/>
          <w:lang w:val="en-GB"/>
        </w:rPr>
      </w:pPr>
    </w:p>
    <w:p w:rsidR="00AE28C2" w:rsidRPr="007D6282" w:rsidRDefault="00F52BD7">
      <w:pPr>
        <w:rPr>
          <w:bCs/>
        </w:rPr>
      </w:pPr>
      <w:r>
        <w:t xml:space="preserve">RK varētu veicināt informācijas un labāko prakšu apmaiņu attiecībā uz </w:t>
      </w:r>
      <w:r>
        <w:rPr>
          <w:i/>
          <w:iCs/>
        </w:rPr>
        <w:t>REACT-EU</w:t>
      </w:r>
      <w:r>
        <w:t xml:space="preserve"> un ESF+ finansējumu, kas sniegts jauniešu nodarbinātības atbalsta pasākumiem. Šī finansiālā palīdzība </w:t>
      </w:r>
      <w:r>
        <w:lastRenderedPageBreak/>
        <w:t>palīdzēs sasniegt kopējo ES mērķrādītāju šim mērķim veltīt vismaz 22 miljardus EUR</w:t>
      </w:r>
      <w:r w:rsidR="008911F1" w:rsidRPr="007D6282">
        <w:rPr>
          <w:rStyle w:val="FootnoteReference"/>
          <w:bCs/>
          <w:sz w:val="24"/>
          <w:szCs w:val="24"/>
          <w:lang w:val="en-GB"/>
        </w:rPr>
        <w:footnoteReference w:id="5"/>
      </w:r>
      <w:r>
        <w:t xml:space="preserve"> un būs pastiprinātās Garantijas jauniešiem finansējuma elements</w:t>
      </w:r>
      <w:r w:rsidR="008911F1" w:rsidRPr="007D6282">
        <w:rPr>
          <w:rStyle w:val="FootnoteReference"/>
          <w:bCs/>
          <w:sz w:val="24"/>
          <w:szCs w:val="24"/>
          <w:lang w:val="en-GB"/>
        </w:rPr>
        <w:footnoteReference w:id="6"/>
      </w:r>
      <w:r>
        <w:t xml:space="preserve">. </w:t>
      </w:r>
    </w:p>
    <w:p w:rsidR="00AE28C2" w:rsidRPr="007D6282" w:rsidRDefault="00AE28C2">
      <w:pPr>
        <w:rPr>
          <w:bCs/>
          <w:u w:val="single"/>
          <w:lang w:val="en-GB"/>
        </w:rPr>
      </w:pPr>
    </w:p>
    <w:p w:rsidR="006106B7" w:rsidRPr="007D6282" w:rsidRDefault="002867F1">
      <w:pPr>
        <w:rPr>
          <w:bCs/>
        </w:rPr>
      </w:pPr>
      <w:r>
        <w:t xml:space="preserve">Saskaņā ar partnerības principu RK varētu veicināt dialogu starp vietējām un reģionālajām pašvaldībām, veidojot koncepcijas jauniešu bezdarba apkarošanai ciešā sadarbībā ar sociālajiem partneriem, un kļūt par ideju un politikas apmaiņas platformu starp reģioniem un pilsētām. </w:t>
      </w:r>
    </w:p>
    <w:p w:rsidR="006106B7" w:rsidRPr="007D6282" w:rsidRDefault="006106B7">
      <w:pPr>
        <w:rPr>
          <w:bCs/>
          <w:lang w:val="en-GB"/>
        </w:rPr>
      </w:pPr>
    </w:p>
    <w:p w:rsidR="00527019" w:rsidRPr="003814FB" w:rsidRDefault="006106B7">
      <w:r>
        <w:t xml:space="preserve">To darot, RK var veikt nozīmīgus turpmākos pasākumus </w:t>
      </w:r>
      <w:r>
        <w:rPr>
          <w:color w:val="000000"/>
        </w:rPr>
        <w:t xml:space="preserve">pēc Komisijas paziņojuma </w:t>
      </w:r>
      <w:r>
        <w:t>“Jauniešu nodarbinātības atbalsts — tilts uz darbvietām nākamajai paaudzei”</w:t>
      </w:r>
      <w:r w:rsidR="00150CCB" w:rsidRPr="007D6282">
        <w:rPr>
          <w:rStyle w:val="FootnoteReference"/>
          <w:sz w:val="24"/>
          <w:szCs w:val="24"/>
          <w:lang w:val="en-GB"/>
        </w:rPr>
        <w:footnoteReference w:id="7"/>
      </w:r>
      <w:r>
        <w:t xml:space="preserve"> un var notikt turpmākas EMPL ĢD un RK sanāksmes. </w:t>
      </w:r>
    </w:p>
    <w:p w:rsidR="00F165DD" w:rsidRPr="007D6282" w:rsidRDefault="00F165DD">
      <w:pPr>
        <w:rPr>
          <w:bCs/>
          <w:lang w:val="en-GB"/>
        </w:rPr>
      </w:pPr>
    </w:p>
    <w:p w:rsidR="00CB78E1" w:rsidRPr="007D6282" w:rsidRDefault="00CB78E1"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2.3. </w:t>
      </w:r>
      <w:r>
        <w:rPr>
          <w:rFonts w:ascii="Times New Roman" w:hAnsi="Times New Roman"/>
          <w:b/>
          <w:sz w:val="24"/>
          <w:szCs w:val="24"/>
        </w:rPr>
        <w:tab/>
      </w:r>
      <w:r>
        <w:rPr>
          <w:rFonts w:ascii="Times New Roman" w:hAnsi="Times New Roman"/>
          <w:b/>
          <w:sz w:val="24"/>
          <w:szCs w:val="32"/>
        </w:rPr>
        <w:t xml:space="preserve">Prasmju programma </w:t>
      </w:r>
    </w:p>
    <w:p w:rsidR="006106B7" w:rsidRPr="007D6282" w:rsidRDefault="006106B7" w:rsidP="007D6282">
      <w:pPr>
        <w:keepNext/>
        <w:rPr>
          <w:rFonts w:eastAsiaTheme="majorEastAsia"/>
          <w:lang w:val="en-GB"/>
        </w:rPr>
      </w:pPr>
    </w:p>
    <w:p w:rsidR="006106B7" w:rsidRPr="007D6282" w:rsidRDefault="00EE2DE9" w:rsidP="007D6282">
      <w:r>
        <w:t>Pandēmijas ietekme uz to, kā mēs strādājam, un divējādā pārkārtošanās uz digitālu un zaļu ekonomiku spēcīgi maina prasmju paradigmu Eiropas Savienībā. Tāpēc ir būtiski svarīgi veicināt un sasaistīt prasmju vietējo perspektīvu, kā minēts nesenajā Eiropas Prasmju programmā ilgtspējīgai konkurētspējai, sociālajam taisnīgumam un noturībai</w:t>
      </w:r>
      <w:r w:rsidR="002867F1" w:rsidRPr="007D6282">
        <w:rPr>
          <w:rStyle w:val="FootnoteReference"/>
          <w:bCs/>
          <w:sz w:val="24"/>
          <w:szCs w:val="24"/>
          <w:lang w:val="en-GB"/>
        </w:rPr>
        <w:footnoteReference w:id="8"/>
      </w:r>
      <w:r>
        <w:t>. Darbs vietējā līmenī var maksimāli palielināt vietējo partneru, piemēram, MVU iesaistīšanos, vienlaikus gūstot labāku izpratni par vietējā darba tirgus vajadzībām un izskatot sinerģijas ar citām vietējām un reģionālām stratēģijām. Turklāt vietējā un reģionālā perspektīva var veicināt kvalitatīvu nākotnes plānošanu un kvantitatīvas prasmju prognozes, kas savukārt var kļūt par prasmju prognozēšanas modeli vai metodi, kuru var izmantot turpmākai plānošanai vai politikas veidošanai.</w:t>
      </w:r>
    </w:p>
    <w:p w:rsidR="006106B7" w:rsidRPr="007D6282" w:rsidRDefault="006106B7">
      <w:pPr>
        <w:rPr>
          <w:bCs/>
          <w:lang w:val="en-GB"/>
        </w:rPr>
      </w:pPr>
    </w:p>
    <w:p w:rsidR="00421A56" w:rsidRPr="007D6282" w:rsidRDefault="00150CCB" w:rsidP="007D6282">
      <w:pPr>
        <w:rPr>
          <w:bCs/>
        </w:rPr>
      </w:pPr>
      <w:r>
        <w:t>Turpmāku sadarbību var nodrošināt ar šādu darbību:</w:t>
      </w:r>
    </w:p>
    <w:p w:rsidR="000A7400" w:rsidRPr="007D6282" w:rsidRDefault="000A7400" w:rsidP="007D6282">
      <w:pPr>
        <w:pStyle w:val="ListParagraph"/>
        <w:spacing w:after="0" w:line="288" w:lineRule="auto"/>
        <w:ind w:left="360"/>
        <w:jc w:val="both"/>
        <w:rPr>
          <w:rStyle w:val="normaltextrun"/>
        </w:rPr>
      </w:pPr>
    </w:p>
    <w:p w:rsidR="000A7400" w:rsidRPr="007D6282" w:rsidRDefault="00151730" w:rsidP="007D6282">
      <w:pPr>
        <w:pStyle w:val="ListParagraph"/>
        <w:numPr>
          <w:ilvl w:val="0"/>
          <w:numId w:val="32"/>
        </w:numPr>
        <w:spacing w:after="0" w:line="288" w:lineRule="auto"/>
        <w:jc w:val="both"/>
        <w:rPr>
          <w:rStyle w:val="normaltextrun"/>
        </w:rPr>
      </w:pPr>
      <w:r>
        <w:rPr>
          <w:rStyle w:val="normaltextrun"/>
        </w:rPr>
        <w:t>Prasmju pakta kā veida, kādā reģioni var veidot partnerības ar nozarēm un apmācības pakalpojumu sniedzējiem vietējo iedzīvotāju prasmju pilnveidē un profesionālajā pārkvalifikācijā, vienota veicināšana;</w:t>
      </w:r>
    </w:p>
    <w:p w:rsidR="000A7400" w:rsidRPr="007D6282" w:rsidRDefault="000A7400" w:rsidP="007D6282">
      <w:pPr>
        <w:pStyle w:val="ListParagraph"/>
        <w:spacing w:after="0" w:line="288" w:lineRule="auto"/>
        <w:ind w:left="360"/>
        <w:jc w:val="both"/>
        <w:rPr>
          <w:rStyle w:val="normaltextrun"/>
        </w:rPr>
      </w:pPr>
    </w:p>
    <w:p w:rsidR="00421A56" w:rsidRPr="007D6282" w:rsidRDefault="000A7400" w:rsidP="007D6282">
      <w:pPr>
        <w:pStyle w:val="ListParagraph"/>
        <w:numPr>
          <w:ilvl w:val="0"/>
          <w:numId w:val="32"/>
        </w:numPr>
        <w:spacing w:after="0" w:line="288" w:lineRule="auto"/>
        <w:jc w:val="both"/>
        <w:rPr>
          <w:rStyle w:val="normaltextrun"/>
        </w:rPr>
      </w:pPr>
      <w:r>
        <w:rPr>
          <w:rStyle w:val="normaltextrun"/>
        </w:rPr>
        <w:lastRenderedPageBreak/>
        <w:t xml:space="preserve">augsta līmeņa konference </w:t>
      </w:r>
      <w:r>
        <w:rPr>
          <w:rStyle w:val="normaltextrun"/>
          <w:rFonts w:ascii="Times New Roman" w:hAnsi="Times New Roman"/>
        </w:rPr>
        <w:t>Reģionu un pilsētu loma augstas kvalitātes māceklības nodrošināšanā</w:t>
      </w:r>
      <w:r>
        <w:rPr>
          <w:rStyle w:val="normaltextrun"/>
        </w:rPr>
        <w:t>, kas rīkota kopīgi ar EMPL ĢD un Covid-19 dēļ plānota 2021. gada pavasarī ar papildu ceļveža pasākumiem tiešsaistē, gatavojoties galvenajai konferencei:</w:t>
      </w:r>
    </w:p>
    <w:p w:rsidR="000A7400" w:rsidRPr="007D6282" w:rsidRDefault="000A7400">
      <w:pPr>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635994">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Datums</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rFonts w:ascii="Calibri" w:hAnsi="Calibri" w:cs="Calibri"/>
                <w:b/>
                <w:bCs/>
                <w:color w:val="FFFFFF"/>
              </w:rPr>
            </w:pPr>
            <w:r>
              <w:rPr>
                <w:b/>
                <w:bCs/>
                <w:color w:val="FFFFFF"/>
              </w:rPr>
              <w:t>Tīmekļsemināri/konferences</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Temats</w:t>
            </w:r>
          </w:p>
        </w:tc>
      </w:tr>
      <w:tr w:rsidR="0063599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Otrdien, 2020. gada 29. septembrī</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1. tīmekļseminārs tiešsaistē: </w:t>
            </w:r>
            <w:r>
              <w:rPr>
                <w:i/>
                <w:iCs/>
              </w:rPr>
              <w:t>Covid-19 ietekme uz māceklību. Reģionu un pilsētu nozīme</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Galvenais jautājums: Covid-19 krīzes pārvarēšana</w:t>
            </w:r>
          </w:p>
        </w:tc>
      </w:tr>
      <w:tr w:rsidR="0063599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2021. gada janvārī/februārī</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2. tīmekļseminārs tiešsaistē: </w:t>
            </w:r>
            <w:r>
              <w:rPr>
                <w:i/>
                <w:iCs/>
              </w:rPr>
              <w:t>Divējādā pārkārtošanās: pilsētu loma augstas kvalitātes māceklības nodrošināšanā</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Galvenais jautājums: divējādā zaļā un digitālā pārkārtošanās</w:t>
            </w:r>
          </w:p>
        </w:tc>
      </w:tr>
      <w:tr w:rsidR="0063599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2021. gada martā/aprīlī</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3. tīmekļseminārs tiešsaistē: </w:t>
            </w:r>
            <w:r>
              <w:rPr>
                <w:i/>
                <w:iCs/>
              </w:rPr>
              <w:t>Divējādā pārkārtošanās: reģionu loma augstas kvalitātes māceklības nodrošināšanā</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Galvenais jautājums: divējādā zaļā un digitālā pārkārtošanās </w:t>
            </w:r>
          </w:p>
        </w:tc>
      </w:tr>
      <w:tr w:rsidR="00635994">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2021. gada 3. un 4. jūnijā (vēl jāapstiprina)</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 xml:space="preserve">Galvenā konference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Vēl jāapstiprina</w:t>
            </w:r>
          </w:p>
        </w:tc>
      </w:tr>
      <w:tr w:rsidR="0063599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Vēl jāapstiprina</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Turpmākas (tiešsaistes) sanāksmes</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Vēl jāapstiprina</w:t>
            </w:r>
          </w:p>
        </w:tc>
      </w:tr>
    </w:tbl>
    <w:p w:rsidR="002D435E" w:rsidRPr="007D6282" w:rsidRDefault="002D435E" w:rsidP="007D6282">
      <w:pPr>
        <w:pStyle w:val="ListParagraph"/>
        <w:spacing w:after="0" w:line="288" w:lineRule="auto"/>
        <w:ind w:left="360"/>
        <w:jc w:val="both"/>
        <w:rPr>
          <w:rStyle w:val="normaltextrun"/>
        </w:rPr>
      </w:pPr>
    </w:p>
    <w:p w:rsidR="002D435E" w:rsidRPr="007D6282" w:rsidRDefault="00151730" w:rsidP="007D6282">
      <w:pPr>
        <w:pStyle w:val="ListParagraph"/>
        <w:numPr>
          <w:ilvl w:val="0"/>
          <w:numId w:val="32"/>
        </w:numPr>
        <w:spacing w:after="0" w:line="288" w:lineRule="auto"/>
        <w:jc w:val="both"/>
        <w:rPr>
          <w:rFonts w:ascii="Times New Roman" w:hAnsi="Times New Roman" w:cs="Times New Roman"/>
        </w:rPr>
      </w:pPr>
      <w:r>
        <w:t>turpmāka sadarbība tiks veidota saistībā ar atzinuma par Eiropas Prasmju programmu ilgtspējīgai konkurētspējai, sociālajam taisnīgumam un noturībai sagatavošanu (ziņotājs: Csaba Borboly, RO/PPE);</w:t>
      </w:r>
      <w:r>
        <w:rPr>
          <w:rFonts w:ascii="Times New Roman" w:hAnsi="Times New Roman"/>
        </w:rPr>
        <w:t xml:space="preserve"> </w:t>
      </w:r>
    </w:p>
    <w:p w:rsidR="00F165DD" w:rsidRPr="007D6282" w:rsidRDefault="00F165DD" w:rsidP="007D6282">
      <w:pPr>
        <w:pStyle w:val="ListParagraph"/>
        <w:spacing w:after="0" w:line="288" w:lineRule="auto"/>
        <w:ind w:left="360"/>
        <w:jc w:val="both"/>
      </w:pPr>
    </w:p>
    <w:p w:rsidR="00176CAE" w:rsidRPr="007D6282" w:rsidRDefault="00151730" w:rsidP="007D6282">
      <w:pPr>
        <w:pStyle w:val="ListParagraph"/>
        <w:numPr>
          <w:ilvl w:val="0"/>
          <w:numId w:val="32"/>
        </w:numPr>
        <w:spacing w:after="0" w:line="288" w:lineRule="auto"/>
        <w:jc w:val="both"/>
        <w:rPr>
          <w:rFonts w:ascii="Times New Roman" w:hAnsi="Times New Roman" w:cs="Times New Roman"/>
        </w:rPr>
      </w:pPr>
      <w:r>
        <w:t>sadarbība saistībā ar Eiropas Māceklību aliansi (</w:t>
      </w:r>
      <w:r>
        <w:rPr>
          <w:i/>
          <w:iCs/>
        </w:rPr>
        <w:t>EAfA</w:t>
      </w:r>
      <w:r>
        <w:t>).</w:t>
      </w:r>
      <w:r>
        <w:rPr>
          <w:rFonts w:ascii="Times New Roman" w:hAnsi="Times New Roman"/>
        </w:rPr>
        <w:t xml:space="preserve"> RK un Eiropas Māceklību alianse (</w:t>
      </w:r>
      <w:r>
        <w:rPr>
          <w:rFonts w:ascii="Times New Roman" w:hAnsi="Times New Roman"/>
          <w:i/>
          <w:iCs/>
        </w:rPr>
        <w:t>EAfA</w:t>
      </w:r>
      <w:r>
        <w:rPr>
          <w:rFonts w:ascii="Times New Roman" w:hAnsi="Times New Roman"/>
        </w:rPr>
        <w:t xml:space="preserve">) varētu turpināt darbu saistībā ar vienu no atjaunotās </w:t>
      </w:r>
      <w:r>
        <w:rPr>
          <w:rFonts w:ascii="Times New Roman" w:hAnsi="Times New Roman"/>
          <w:i/>
          <w:iCs/>
        </w:rPr>
        <w:t>EAfA</w:t>
      </w:r>
      <w:r>
        <w:rPr>
          <w:rFonts w:ascii="Times New Roman" w:hAnsi="Times New Roman"/>
        </w:rPr>
        <w:t xml:space="preserve"> prioritātēm “vietējo un reģionālo pašvaldību kā māceklību veicinātāju vietējās uzņēmējdarbības vidē mobilizēšana”. Kā piemēru var minēt jaunā Pilsētu māceklību tīkla dalību </w:t>
      </w:r>
      <w:r>
        <w:rPr>
          <w:rFonts w:ascii="Times New Roman" w:hAnsi="Times New Roman"/>
          <w:i/>
          <w:iCs/>
        </w:rPr>
        <w:t>EAfA</w:t>
      </w:r>
      <w:r>
        <w:rPr>
          <w:rFonts w:ascii="Times New Roman" w:hAnsi="Times New Roman"/>
        </w:rPr>
        <w:t>/RK kopīgajos tīmekļsemināros. Viens no galvenajiem tīkla mērķiem būs vairot informētību par pilsētu potenciālu māceklību atbalstīšanā. Visbeidzot, šajā tīklā pilsētas varēs cita no citas mācīties, sadarboties, veidot rīkus, dalīties ar labām praksēm, kā arī sniegt un saņemt tehnisko un politisko palīdzību.   </w:t>
      </w:r>
    </w:p>
    <w:p w:rsidR="00C34231" w:rsidRPr="003814FB" w:rsidRDefault="00C34231">
      <w:pPr>
        <w:rPr>
          <w:rFonts w:eastAsiaTheme="majorEastAsia"/>
          <w:lang w:val="en-GB"/>
        </w:rPr>
      </w:pPr>
    </w:p>
    <w:p w:rsidR="003D64D4" w:rsidRPr="007D6282" w:rsidRDefault="00025C0A"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ES atbalstīto Eiropas vietējo darbvietu gadatirgu koncepcija vietējas nodarbinātības atbalstīšanai</w:t>
      </w:r>
    </w:p>
    <w:p w:rsidR="00CE5349" w:rsidRPr="007D6282" w:rsidRDefault="00CE5349">
      <w:pPr>
        <w:keepNext/>
        <w:rPr>
          <w:lang w:val="en-GB"/>
        </w:rPr>
      </w:pPr>
    </w:p>
    <w:p w:rsidR="00CC2877" w:rsidRPr="003814FB" w:rsidRDefault="00394636" w:rsidP="007D6282">
      <w:r>
        <w:t xml:space="preserve">Lai uzlabotu darbvietu un prasmju atbilstību ir nolemts apsvērt iespējas kopīgi rīkot Eiropas vietējo darbvietu gadatirgus visā Eiropā. Saloniki varētu brīvprātīgi rīkot šādu Eiropas vietējo darbvietu gadatirgu tuvākajā iespējamajā laikā. Šāds pasākums varētu kļūt par paraugu līdzīgiem pasākumiem citos ES reģionos. RK un EMPL ĢD sadarbosies attiecībā uz koncepciju un īstenošanu, tostarp izveidi, partneriem, finansēšanu u. c., par ko būs jāvienojas atsevišķi. </w:t>
      </w:r>
    </w:p>
    <w:p w:rsidR="00FE1A83" w:rsidRPr="003814FB" w:rsidRDefault="00FE1A83" w:rsidP="007D6282">
      <w:pPr>
        <w:rPr>
          <w:lang w:val="en-GB"/>
        </w:rPr>
      </w:pPr>
    </w:p>
    <w:p w:rsidR="00DC5206" w:rsidRPr="007D6282" w:rsidRDefault="00455FAA" w:rsidP="007D6282">
      <w:pPr>
        <w:pStyle w:val="Heading3"/>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Kas jau pastāv</w:t>
      </w:r>
    </w:p>
    <w:p w:rsidR="00CC2877" w:rsidRPr="003814FB" w:rsidRDefault="00CC2877">
      <w:pPr>
        <w:keepNext/>
        <w:rPr>
          <w:lang w:val="en-GB"/>
        </w:rPr>
      </w:pPr>
    </w:p>
    <w:p w:rsidR="00CC2877" w:rsidRPr="007D6282" w:rsidRDefault="00DF7306" w:rsidP="007D6282">
      <w:pPr>
        <w:pStyle w:val="ListParagraph"/>
        <w:numPr>
          <w:ilvl w:val="0"/>
          <w:numId w:val="35"/>
        </w:numPr>
        <w:spacing w:after="0" w:line="288" w:lineRule="auto"/>
        <w:jc w:val="both"/>
      </w:pPr>
      <w:r>
        <w:rPr>
          <w:rFonts w:ascii="Times New Roman" w:hAnsi="Times New Roman"/>
        </w:rPr>
        <w:t>Eiropas valstu Nodarbinātības dienestu tīkls (</w:t>
      </w:r>
      <w:r>
        <w:rPr>
          <w:rFonts w:ascii="Times New Roman" w:hAnsi="Times New Roman"/>
          <w:i/>
          <w:iCs/>
        </w:rPr>
        <w:t>EURES</w:t>
      </w:r>
      <w:r>
        <w:rPr>
          <w:rFonts w:ascii="Times New Roman" w:hAnsi="Times New Roman"/>
        </w:rPr>
        <w:t>) jau rīko “Eiropas darbvietu dienas”, veicinot darbaspēka mobilitāti visā ES, savienojot pieteikumu iesniedzēju prasmes ar darba devēju vajadzībām citās dalībvalstīs (šādu mobilitātes pasākumu kopēšana neradītu pievienoto vērtību).</w:t>
      </w:r>
    </w:p>
    <w:p w:rsidR="00CC2877" w:rsidRPr="007D6282" w:rsidRDefault="00CC2877" w:rsidP="007D6282">
      <w:pPr>
        <w:pStyle w:val="ListParagraph"/>
        <w:spacing w:after="0" w:line="288" w:lineRule="auto"/>
        <w:ind w:left="360"/>
        <w:jc w:val="both"/>
      </w:pPr>
    </w:p>
    <w:p w:rsidR="00CC2877" w:rsidRPr="007D6282" w:rsidRDefault="00501E02" w:rsidP="007D6282">
      <w:pPr>
        <w:pStyle w:val="ListParagraph"/>
        <w:numPr>
          <w:ilvl w:val="0"/>
          <w:numId w:val="35"/>
        </w:numPr>
        <w:spacing w:after="0" w:line="288" w:lineRule="auto"/>
        <w:jc w:val="both"/>
      </w:pPr>
      <w:r>
        <w:rPr>
          <w:rFonts w:ascii="Times New Roman" w:hAnsi="Times New Roman"/>
        </w:rPr>
        <w:t>Vairāki ES projekti ir paredzēti bezdarba mazināšanai, turklāt pastāv arī valstu programmas ar tādu pašu mērķi.</w:t>
      </w:r>
    </w:p>
    <w:p w:rsidR="00CC2877" w:rsidRPr="007D6282" w:rsidRDefault="00CC2877" w:rsidP="007D6282">
      <w:pPr>
        <w:pStyle w:val="ListParagraph"/>
        <w:spacing w:after="0" w:line="288" w:lineRule="auto"/>
        <w:ind w:left="360"/>
        <w:jc w:val="both"/>
      </w:pPr>
    </w:p>
    <w:p w:rsidR="00CC2877" w:rsidRPr="007D6282" w:rsidRDefault="002867F1" w:rsidP="007D6282">
      <w:pPr>
        <w:pStyle w:val="ListParagraph"/>
        <w:numPr>
          <w:ilvl w:val="0"/>
          <w:numId w:val="35"/>
        </w:numPr>
        <w:spacing w:after="0" w:line="288" w:lineRule="auto"/>
        <w:jc w:val="both"/>
      </w:pPr>
      <w:r>
        <w:rPr>
          <w:rFonts w:ascii="Times New Roman" w:hAnsi="Times New Roman"/>
        </w:rPr>
        <w:t>ESF jau ir un ESF+ būs nozīmīgs instruments vietēju nodarbinātības stratēģiju finansēšanai, kā arī apmācības, prasmju pilnveides un profesionālās pārkvalifikācijas veicināšanai.</w:t>
      </w:r>
    </w:p>
    <w:p w:rsidR="00CC2877" w:rsidRPr="007D6282" w:rsidRDefault="00CC2877" w:rsidP="007D6282">
      <w:pPr>
        <w:pStyle w:val="ListParagraph"/>
        <w:spacing w:after="0" w:line="288" w:lineRule="auto"/>
        <w:ind w:left="360"/>
        <w:jc w:val="both"/>
      </w:pPr>
    </w:p>
    <w:p w:rsidR="00CC2877" w:rsidRPr="007D6282" w:rsidRDefault="00DF7306">
      <w:pPr>
        <w:numPr>
          <w:ilvl w:val="0"/>
          <w:numId w:val="35"/>
        </w:numPr>
        <w:rPr>
          <w:rFonts w:eastAsia="Times New Roman"/>
          <w:sz w:val="24"/>
          <w:szCs w:val="24"/>
        </w:rPr>
      </w:pPr>
      <w:r>
        <w:t>Nodarbinātības un sociālās inovācijas programmai (</w:t>
      </w:r>
      <w:r>
        <w:rPr>
          <w:i/>
          <w:iCs/>
        </w:rPr>
        <w:t>EaSI</w:t>
      </w:r>
      <w:r>
        <w:t xml:space="preserve">) (2014–2020) ir trīs virzieni (progress nodarbinātības un sociālo pakalpojumu modernizācijai, </w:t>
      </w:r>
      <w:r>
        <w:rPr>
          <w:i/>
          <w:iCs/>
        </w:rPr>
        <w:t>EURES</w:t>
      </w:r>
      <w:r>
        <w:t xml:space="preserve"> darbaspēka mobilitātei un mikrofinansēšanas un sociālās uzņēmējdarbības virziens, kas sniedz mikroaizdevumus un mikrokredītus neaizsargātām grupām un uzņēmumiem un atbalsta sociālo uzņēmējdarbību). InvestEU no 2021. gada sniegs līdzīgas iespējas.</w:t>
      </w:r>
    </w:p>
    <w:p w:rsidR="00FE1A83" w:rsidRPr="007D6282" w:rsidRDefault="00FE1A83" w:rsidP="007D6282">
      <w:pPr>
        <w:rPr>
          <w:lang w:val="en-GB"/>
        </w:rPr>
      </w:pPr>
    </w:p>
    <w:p w:rsidR="00CC2877" w:rsidRPr="007D6282" w:rsidRDefault="00455FAA" w:rsidP="007D6282">
      <w:pPr>
        <w:pStyle w:val="Heading3"/>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Eiropas vietējo darbvietu gadatirgu pievienotā vērtība</w:t>
      </w:r>
    </w:p>
    <w:p w:rsidR="00CC2877" w:rsidRPr="007D6282" w:rsidRDefault="00CC2877" w:rsidP="007D6282">
      <w:pPr>
        <w:keepNext/>
        <w:rPr>
          <w:lang w:val="en-GB"/>
        </w:rPr>
      </w:pPr>
    </w:p>
    <w:p w:rsidR="00CC2877" w:rsidRPr="007D6282" w:rsidRDefault="00CC2877" w:rsidP="007D6282">
      <w:pPr>
        <w:pStyle w:val="ListParagraph"/>
        <w:spacing w:after="0" w:line="288" w:lineRule="auto"/>
        <w:ind w:left="0"/>
        <w:jc w:val="both"/>
      </w:pPr>
      <w:r>
        <w:rPr>
          <w:rFonts w:ascii="Times New Roman" w:hAnsi="Times New Roman"/>
        </w:rPr>
        <w:t>Ņemot vērā jau esošās ES un citas iniciatīvas, Eiropas vietējo darbvietu gadatirgu īpašā pievienotā vērtība būs:</w:t>
      </w:r>
    </w:p>
    <w:p w:rsidR="00100433" w:rsidRPr="007D6282" w:rsidRDefault="00100433" w:rsidP="007D6282">
      <w:pPr>
        <w:pStyle w:val="ListParagraph"/>
        <w:spacing w:after="0" w:line="288" w:lineRule="auto"/>
        <w:ind w:left="0"/>
        <w:jc w:val="both"/>
      </w:pPr>
    </w:p>
    <w:p w:rsidR="00100433" w:rsidRPr="007D6282" w:rsidRDefault="00100433" w:rsidP="007D6282">
      <w:pPr>
        <w:pStyle w:val="ListParagraph"/>
        <w:numPr>
          <w:ilvl w:val="0"/>
          <w:numId w:val="35"/>
        </w:numPr>
        <w:spacing w:after="0" w:line="288" w:lineRule="auto"/>
        <w:jc w:val="both"/>
      </w:pPr>
      <w:r>
        <w:rPr>
          <w:rFonts w:ascii="Times New Roman" w:hAnsi="Times New Roman"/>
        </w:rPr>
        <w:t>popularizēt esošos ES pakalpojumus darba meklētājiem vietējā, valstu un Eiropas līmenī;</w:t>
      </w:r>
    </w:p>
    <w:p w:rsidR="0002399B" w:rsidRPr="007D6282" w:rsidRDefault="0002399B" w:rsidP="007D6282">
      <w:pPr>
        <w:pStyle w:val="ListParagraph"/>
        <w:numPr>
          <w:ilvl w:val="0"/>
          <w:numId w:val="35"/>
        </w:numPr>
        <w:spacing w:after="0" w:line="288" w:lineRule="auto"/>
        <w:jc w:val="both"/>
      </w:pPr>
      <w:r>
        <w:rPr>
          <w:rFonts w:ascii="Times New Roman" w:hAnsi="Times New Roman"/>
        </w:rPr>
        <w:t>informēt par jaunajām tendencēm saistībā ar prasmēm un nodarbinātību vietējā un Eiropas līmenī;</w:t>
      </w:r>
    </w:p>
    <w:p w:rsidR="00100433" w:rsidRPr="007D6282" w:rsidRDefault="00100433" w:rsidP="007D6282">
      <w:pPr>
        <w:pStyle w:val="ListParagraph"/>
        <w:numPr>
          <w:ilvl w:val="0"/>
          <w:numId w:val="35"/>
        </w:numPr>
        <w:spacing w:after="0" w:line="288" w:lineRule="auto"/>
        <w:jc w:val="both"/>
      </w:pPr>
      <w:r>
        <w:rPr>
          <w:rFonts w:ascii="Times New Roman" w:hAnsi="Times New Roman"/>
        </w:rPr>
        <w:t>informēt par ES shēmām vietējo un reģionālo nodarbinātības stratēģiju atbalstam, ņemot vērā turpmāko ESF programmu plānošanu;</w:t>
      </w:r>
    </w:p>
    <w:p w:rsidR="00100433" w:rsidRPr="007D6282" w:rsidRDefault="00100433" w:rsidP="007D6282">
      <w:pPr>
        <w:pStyle w:val="ListParagraph"/>
        <w:numPr>
          <w:ilvl w:val="0"/>
          <w:numId w:val="35"/>
        </w:numPr>
        <w:spacing w:after="0" w:line="288" w:lineRule="auto"/>
        <w:jc w:val="both"/>
      </w:pPr>
      <w:r>
        <w:rPr>
          <w:rFonts w:ascii="Times New Roman" w:hAnsi="Times New Roman"/>
        </w:rPr>
        <w:t xml:space="preserve">norādīt uz saiknēm starp dažādām ES politikas jomām un programmām jauniešu skatījumā; </w:t>
      </w:r>
    </w:p>
    <w:p w:rsidR="00C97045" w:rsidRPr="007D6282" w:rsidRDefault="00100433" w:rsidP="007D6282">
      <w:pPr>
        <w:pStyle w:val="ListParagraph"/>
        <w:numPr>
          <w:ilvl w:val="0"/>
          <w:numId w:val="35"/>
        </w:numPr>
        <w:spacing w:after="0" w:line="288" w:lineRule="auto"/>
        <w:jc w:val="both"/>
      </w:pPr>
      <w:r>
        <w:rPr>
          <w:rFonts w:ascii="Times New Roman" w:hAnsi="Times New Roman"/>
        </w:rPr>
        <w:t>radīt pamatu dialogam ar iedzīvotājiem par ES sociālo dimensiju un tās nozīmi vietējai un reģionālai nodarbinātībai; un</w:t>
      </w:r>
    </w:p>
    <w:p w:rsidR="00100433" w:rsidRPr="007D6282" w:rsidRDefault="00C97045" w:rsidP="007D6282">
      <w:pPr>
        <w:pStyle w:val="ListParagraph"/>
        <w:numPr>
          <w:ilvl w:val="0"/>
          <w:numId w:val="35"/>
        </w:numPr>
        <w:spacing w:after="0" w:line="288" w:lineRule="auto"/>
        <w:jc w:val="both"/>
      </w:pPr>
      <w:r>
        <w:rPr>
          <w:rFonts w:ascii="Times New Roman" w:hAnsi="Times New Roman"/>
        </w:rPr>
        <w:t>atbalstīt darbvietu un prasmju vietēju savienošanu ar ES finansējuma atbalstu šādiem vietējiem pasākumiem.</w:t>
      </w:r>
    </w:p>
    <w:p w:rsidR="00FE1A83" w:rsidRPr="003814FB" w:rsidRDefault="00FE1A83">
      <w:pPr>
        <w:rPr>
          <w:lang w:val="en-GB"/>
        </w:rPr>
      </w:pPr>
    </w:p>
    <w:p w:rsidR="00F165DD" w:rsidRPr="003814FB" w:rsidRDefault="001A2D75">
      <w:r>
        <w:t>Pašlaik ir svarīgi rīkot šādus gadatirgus kā daļu no atveseļošanas pasākumiem Covid-19 pandēmijas kontekstā. Tāpēc ir būtiski svarīgi ar vadošajiem sociālo partneru pārstāvjiem, uzņemošajiem RK locekļiem un ES pārstāvjiem uzsākt politikas dialogu par koncepcijām un stratēģijām pašreizējo nodarbinātības problēmu risināšanai.</w:t>
      </w:r>
    </w:p>
    <w:p w:rsidR="00FE1A83" w:rsidRPr="003814FB" w:rsidRDefault="00FE1A83">
      <w:pPr>
        <w:rPr>
          <w:lang w:val="en-GB"/>
        </w:rPr>
      </w:pPr>
    </w:p>
    <w:p w:rsidR="00100433" w:rsidRPr="007D6282" w:rsidRDefault="00455FAA" w:rsidP="007D6282">
      <w:pPr>
        <w:pStyle w:val="Heading3"/>
        <w:ind w:left="709" w:hanging="709"/>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Eiropas vietējo darbvietu gadatirgu mērķa grupa</w:t>
      </w:r>
    </w:p>
    <w:p w:rsidR="0002399B" w:rsidRPr="007D6282" w:rsidRDefault="0002399B">
      <w:pPr>
        <w:keepNext/>
        <w:rPr>
          <w:lang w:val="en-GB"/>
        </w:rPr>
      </w:pPr>
    </w:p>
    <w:p w:rsidR="0002399B" w:rsidRPr="007D6282" w:rsidRDefault="0002399B" w:rsidP="007D6282">
      <w:r>
        <w:t>Eiropas vietējo darbvietu gadatirgu mērķa grupa varētu ietvert:</w:t>
      </w:r>
    </w:p>
    <w:p w:rsidR="0002399B" w:rsidRPr="007D6282" w:rsidRDefault="0002399B">
      <w:pPr>
        <w:rPr>
          <w:lang w:val="en-GB"/>
        </w:rPr>
      </w:pPr>
    </w:p>
    <w:p w:rsidR="0002399B" w:rsidRPr="007D6282" w:rsidRDefault="0002399B" w:rsidP="007D6282">
      <w:pPr>
        <w:pStyle w:val="ListParagraph"/>
        <w:numPr>
          <w:ilvl w:val="0"/>
          <w:numId w:val="33"/>
        </w:numPr>
        <w:spacing w:after="0" w:line="288" w:lineRule="auto"/>
        <w:ind w:left="360"/>
      </w:pPr>
      <w:r>
        <w:rPr>
          <w:rFonts w:ascii="Times New Roman" w:hAnsi="Times New Roman"/>
        </w:rPr>
        <w:t>darba meklētājus, jo īpaši studentus un nesenos absolventus;</w:t>
      </w:r>
    </w:p>
    <w:p w:rsidR="0002399B" w:rsidRPr="007D6282" w:rsidRDefault="0002399B" w:rsidP="007D6282">
      <w:pPr>
        <w:pStyle w:val="ListParagraph"/>
        <w:numPr>
          <w:ilvl w:val="0"/>
          <w:numId w:val="33"/>
        </w:numPr>
        <w:spacing w:after="0" w:line="288" w:lineRule="auto"/>
        <w:ind w:left="360"/>
      </w:pPr>
      <w:r>
        <w:rPr>
          <w:rFonts w:ascii="Times New Roman" w:hAnsi="Times New Roman"/>
        </w:rPr>
        <w:t>vietējos/reģionālos sabiedriskos nodarbinātības dienestus;</w:t>
      </w:r>
    </w:p>
    <w:p w:rsidR="0002399B" w:rsidRPr="007D6282" w:rsidRDefault="0002399B" w:rsidP="007D6282">
      <w:pPr>
        <w:pStyle w:val="ListParagraph"/>
        <w:numPr>
          <w:ilvl w:val="0"/>
          <w:numId w:val="33"/>
        </w:numPr>
        <w:spacing w:after="0" w:line="288" w:lineRule="auto"/>
        <w:ind w:left="360"/>
      </w:pPr>
      <w:r>
        <w:rPr>
          <w:rFonts w:ascii="Times New Roman" w:hAnsi="Times New Roman"/>
        </w:rPr>
        <w:t>apmācības, pārkvalifikācijas un nodarbinātības aģentūras;</w:t>
      </w:r>
    </w:p>
    <w:p w:rsidR="0002399B" w:rsidRPr="007D6282" w:rsidRDefault="0002399B" w:rsidP="007D6282">
      <w:pPr>
        <w:pStyle w:val="ListParagraph"/>
        <w:numPr>
          <w:ilvl w:val="0"/>
          <w:numId w:val="33"/>
        </w:numPr>
        <w:spacing w:after="0" w:line="288" w:lineRule="auto"/>
        <w:ind w:left="360"/>
      </w:pPr>
      <w:r>
        <w:rPr>
          <w:rFonts w:ascii="Times New Roman" w:hAnsi="Times New Roman"/>
        </w:rPr>
        <w:t>sociālos partnerus, izglītības struktūras;</w:t>
      </w:r>
    </w:p>
    <w:p w:rsidR="0002399B" w:rsidRPr="007D6282" w:rsidRDefault="0002399B" w:rsidP="007D6282">
      <w:pPr>
        <w:pStyle w:val="ListParagraph"/>
        <w:numPr>
          <w:ilvl w:val="0"/>
          <w:numId w:val="33"/>
        </w:numPr>
        <w:spacing w:after="0" w:line="288" w:lineRule="auto"/>
        <w:ind w:left="360"/>
      </w:pPr>
      <w:r>
        <w:rPr>
          <w:rFonts w:ascii="Times New Roman" w:hAnsi="Times New Roman"/>
        </w:rPr>
        <w:t>vietējās/reģionālās pašvaldības un politiķus, kā arī</w:t>
      </w:r>
    </w:p>
    <w:p w:rsidR="0002399B" w:rsidRPr="007D6282" w:rsidRDefault="0002399B" w:rsidP="007D6282">
      <w:pPr>
        <w:pStyle w:val="ListParagraph"/>
        <w:numPr>
          <w:ilvl w:val="0"/>
          <w:numId w:val="33"/>
        </w:numPr>
        <w:spacing w:after="0" w:line="288" w:lineRule="auto"/>
        <w:ind w:left="360"/>
      </w:pPr>
      <w:r>
        <w:rPr>
          <w:rFonts w:ascii="Times New Roman" w:hAnsi="Times New Roman"/>
        </w:rPr>
        <w:t>vietējos/reģionālos plašsaziņas līdzekļus.</w:t>
      </w:r>
    </w:p>
    <w:p w:rsidR="00FE1A83" w:rsidRPr="007D6282" w:rsidRDefault="00FE1A83" w:rsidP="007D6282">
      <w:pPr>
        <w:rPr>
          <w:lang w:val="en-GB"/>
        </w:rPr>
      </w:pPr>
    </w:p>
    <w:p w:rsidR="0002399B" w:rsidRPr="007D6282" w:rsidRDefault="00455FAA" w:rsidP="007D6282">
      <w:pPr>
        <w:pStyle w:val="Heading3"/>
        <w:tabs>
          <w:tab w:val="left" w:pos="567"/>
        </w:tabs>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Iespējamie partneri un īstenošana</w:t>
      </w:r>
    </w:p>
    <w:p w:rsidR="0002399B" w:rsidRPr="007D6282" w:rsidRDefault="0002399B" w:rsidP="007D6282">
      <w:pPr>
        <w:keepNext/>
        <w:rPr>
          <w:lang w:val="en-GB"/>
        </w:rPr>
      </w:pPr>
    </w:p>
    <w:p w:rsidR="0002399B" w:rsidRPr="007D6282" w:rsidRDefault="00E0617C">
      <w:r>
        <w:t>Eiropas vietējo darbvietu gadatirgus vislabākos panākumus gūs tad, ja jau sākotnēji tiks iesaistīti vajadzīgie partneri, kas nodrošinātu nozīmīgu devumu. Varētu iesaistīt šādus partnerus:</w:t>
      </w:r>
    </w:p>
    <w:p w:rsidR="0002399B" w:rsidRPr="007D6282" w:rsidRDefault="0002399B">
      <w:pPr>
        <w:rPr>
          <w:lang w:val="en-GB"/>
        </w:rPr>
      </w:pP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vietējā līmenī</w:t>
      </w:r>
      <w:r>
        <w:rPr>
          <w:rFonts w:ascii="Times New Roman" w:hAnsi="Times New Roman"/>
        </w:rPr>
        <w:t>: publiskā sektora struktūras, tirdzniecības kameras un uzņēmumu asociācijas, arodbiedrības, pilsoniskā sabiedrība, skolas, universitātes utt.;</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reģionālā līmenī</w:t>
      </w:r>
      <w:r>
        <w:rPr>
          <w:rFonts w:ascii="Times New Roman" w:hAnsi="Times New Roman"/>
        </w:rPr>
        <w:t>: ESF vadošā iestāde, nodarbinātības dienesti, reģionālās ministrijas, reģionālās uzņēmumu apvienības, universitātes utt.;</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valstu līmenī</w:t>
      </w:r>
      <w:r>
        <w:rPr>
          <w:rFonts w:ascii="Times New Roman" w:hAnsi="Times New Roman"/>
        </w:rPr>
        <w:t>: valsts ministrijas, sociālās nozares apvienības, uzņēmumu apvienības, apmācības iestāžu apvienības, universitāšu apvienības utt.;</w:t>
      </w:r>
    </w:p>
    <w:p w:rsidR="00256F0C" w:rsidRPr="007D6282" w:rsidRDefault="00E0617C" w:rsidP="007D6282">
      <w:pPr>
        <w:pStyle w:val="ListParagraph"/>
        <w:numPr>
          <w:ilvl w:val="0"/>
          <w:numId w:val="40"/>
        </w:numPr>
        <w:spacing w:after="0" w:line="288" w:lineRule="auto"/>
        <w:jc w:val="both"/>
      </w:pPr>
      <w:r>
        <w:rPr>
          <w:rFonts w:ascii="Times New Roman" w:hAnsi="Times New Roman"/>
          <w:u w:val="single"/>
        </w:rPr>
        <w:t>ES līmenī</w:t>
      </w:r>
      <w:r>
        <w:rPr>
          <w:rFonts w:ascii="Times New Roman" w:hAnsi="Times New Roman"/>
        </w:rPr>
        <w:t>: Eiropas Komisija (EMPL ĢD vadībā; citi ĢD un dienesti, ko varētu pieaicināt:</w:t>
      </w:r>
      <w:r>
        <w:rPr>
          <w:rFonts w:ascii="Times New Roman" w:hAnsi="Times New Roman"/>
          <w:i/>
        </w:rPr>
        <w:t xml:space="preserve"> </w:t>
      </w:r>
      <w:r>
        <w:rPr>
          <w:rFonts w:ascii="Times New Roman" w:hAnsi="Times New Roman"/>
        </w:rPr>
        <w:t>EAC ĢD; REGIO ĢD, REFORM ĢD, Kopīgais pētniecības centrs), ES aģentūras (Eiropas Darba iestāde, Cedefop, Eurofound); RK locekļi; EP deputāti; sociālie partneri.</w:t>
      </w:r>
    </w:p>
    <w:p w:rsidR="00FE1A83" w:rsidRPr="003814FB" w:rsidRDefault="00FE1A83">
      <w:pPr>
        <w:rPr>
          <w:lang w:val="en-GB"/>
        </w:rPr>
      </w:pPr>
    </w:p>
    <w:p w:rsidR="00834904" w:rsidRPr="003814FB" w:rsidRDefault="00834904">
      <w:r>
        <w:t xml:space="preserve">Tā kā Covid-19 pandēmija pašlaik neļauj rīkot klātienes gadatirgus, varētu apsvērt tādu pasākumu rīkošanu kā </w:t>
      </w:r>
      <w:hyperlink r:id="rId14" w:history="1">
        <w:r>
          <w:t>Eiropas darbvietu dienas tiešsaistē</w:t>
        </w:r>
      </w:hyperlink>
      <w:r>
        <w:t xml:space="preserve">, vienojoties ar attiecīgo </w:t>
      </w:r>
      <w:r>
        <w:rPr>
          <w:i/>
          <w:iCs/>
        </w:rPr>
        <w:t>EURES</w:t>
      </w:r>
      <w:r>
        <w:t xml:space="preserve"> nacionālo koordinācijas biroju un tam iesaistoties.</w:t>
      </w:r>
    </w:p>
    <w:p w:rsidR="003E0FE7" w:rsidRPr="003814FB" w:rsidRDefault="003E0FE7">
      <w:pPr>
        <w:rPr>
          <w:lang w:val="en-GB"/>
        </w:rPr>
      </w:pPr>
    </w:p>
    <w:p w:rsidR="00E6624D" w:rsidRPr="003814FB" w:rsidRDefault="00E6624D">
      <w:r>
        <w:t>Rīkotāju un partneru uzdevumi un pienākumi tiks noteikti pēc atsevišķas vienošanās.</w:t>
      </w:r>
    </w:p>
    <w:p w:rsidR="00F165DD" w:rsidRPr="007D6282" w:rsidRDefault="00F165DD">
      <w:pPr>
        <w:rPr>
          <w:sz w:val="24"/>
          <w:lang w:val="en-GB"/>
        </w:rPr>
      </w:pPr>
    </w:p>
    <w:p w:rsidR="001A2D75" w:rsidRPr="007D6282" w:rsidRDefault="001A2D75" w:rsidP="007D6282">
      <w:pPr>
        <w:pStyle w:val="ListParagraph"/>
        <w:keepNext/>
        <w:numPr>
          <w:ilvl w:val="2"/>
          <w:numId w:val="22"/>
        </w:numPr>
        <w:spacing w:after="0" w:line="288" w:lineRule="auto"/>
        <w:rPr>
          <w:b/>
          <w:sz w:val="24"/>
        </w:rPr>
      </w:pPr>
      <w:r>
        <w:rPr>
          <w:rFonts w:ascii="Times New Roman" w:hAnsi="Times New Roman"/>
          <w:b/>
          <w:sz w:val="24"/>
        </w:rPr>
        <w:t>Finansējums un cits atbalsts</w:t>
      </w:r>
    </w:p>
    <w:p w:rsidR="001A2D75" w:rsidRPr="003814FB" w:rsidRDefault="001A2D75" w:rsidP="007D6282">
      <w:pPr>
        <w:keepNext/>
        <w:rPr>
          <w:lang w:val="en-GB"/>
        </w:rPr>
      </w:pPr>
    </w:p>
    <w:p w:rsidR="006C7232" w:rsidRPr="007D6282" w:rsidRDefault="001A2D75">
      <w:r>
        <w:t>RK locekļu rīkotus Eiropas vietējo darbvietu gadatirgus varētu atbalstīt ar ES finansējumu. Reģionu komiteja un EMPL ĢD kopīgi apsvērs piemērotas iespējas šādu pasākumu finansiālai atbalstīšanai.</w:t>
      </w:r>
    </w:p>
    <w:p w:rsidR="001A2D75" w:rsidRPr="007D6282" w:rsidRDefault="001A2D75">
      <w:pPr>
        <w:rPr>
          <w:lang w:val="en-GB"/>
        </w:rPr>
      </w:pPr>
    </w:p>
    <w:p w:rsidR="001A2D75" w:rsidRPr="007D6282" w:rsidRDefault="008D4711">
      <w:r>
        <w:t>Cits atbalsts varētu ietvert:</w:t>
      </w:r>
    </w:p>
    <w:p w:rsidR="001A2D75" w:rsidRPr="007D6282" w:rsidRDefault="001A2D75">
      <w:pPr>
        <w:rPr>
          <w:lang w:val="en-GB"/>
        </w:rPr>
      </w:pPr>
    </w:p>
    <w:p w:rsidR="001A2D75" w:rsidRPr="007D6282" w:rsidRDefault="001A2D75" w:rsidP="007D6282">
      <w:pPr>
        <w:pStyle w:val="ListParagraph"/>
        <w:numPr>
          <w:ilvl w:val="0"/>
          <w:numId w:val="41"/>
        </w:numPr>
        <w:spacing w:after="0" w:line="288" w:lineRule="auto"/>
        <w:jc w:val="both"/>
      </w:pPr>
      <w:r>
        <w:rPr>
          <w:rFonts w:ascii="Times New Roman" w:hAnsi="Times New Roman"/>
        </w:rPr>
        <w:t>ES partneru apņemšanos aktīvi piedalīties gadatirgos (sūtot ekspertus un delegātus);</w:t>
      </w:r>
    </w:p>
    <w:p w:rsidR="001A2D75" w:rsidRPr="007D6282" w:rsidRDefault="001A2D75" w:rsidP="007D6282">
      <w:pPr>
        <w:pStyle w:val="ListParagraph"/>
        <w:numPr>
          <w:ilvl w:val="0"/>
          <w:numId w:val="41"/>
        </w:numPr>
        <w:spacing w:after="0" w:line="288" w:lineRule="auto"/>
        <w:jc w:val="both"/>
      </w:pPr>
      <w:r>
        <w:rPr>
          <w:rFonts w:ascii="Times New Roman" w:hAnsi="Times New Roman"/>
        </w:rPr>
        <w:t>ES partneru apņemšanos sagatavot pienācīgu informatīvo materiālu pasākumam;</w:t>
      </w:r>
    </w:p>
    <w:p w:rsidR="001A2D75" w:rsidRPr="007D6282" w:rsidRDefault="001A2D75" w:rsidP="007D6282">
      <w:pPr>
        <w:pStyle w:val="ListParagraph"/>
        <w:numPr>
          <w:ilvl w:val="0"/>
          <w:numId w:val="41"/>
        </w:numPr>
        <w:spacing w:after="0" w:line="288" w:lineRule="auto"/>
        <w:jc w:val="both"/>
      </w:pPr>
      <w:r>
        <w:rPr>
          <w:rFonts w:ascii="Times New Roman" w:hAnsi="Times New Roman"/>
        </w:rPr>
        <w:t>apņemšanos, kad vien iespējams, nodrošināt augsta līmeņa — komisāra vai EMPL ĢD augstākās vadības — pārstāvību gadatirgū.</w:t>
      </w:r>
    </w:p>
    <w:p w:rsidR="007A1EBE" w:rsidRPr="007D6282" w:rsidRDefault="007A1EBE" w:rsidP="007D6282">
      <w:pPr>
        <w:rPr>
          <w:lang w:val="en-GB"/>
        </w:rPr>
      </w:pPr>
    </w:p>
    <w:p w:rsidR="00E01D16" w:rsidRPr="007D6282" w:rsidRDefault="008C4469" w:rsidP="007D6282">
      <w:pPr>
        <w:pStyle w:val="Heading1"/>
        <w:spacing w:before="0"/>
        <w:ind w:left="567" w:hanging="567"/>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Citas politikas jomas un sadarbības iespējas</w:t>
      </w:r>
    </w:p>
    <w:p w:rsidR="00E01D16" w:rsidRPr="007D6282" w:rsidRDefault="00E01D16">
      <w:pPr>
        <w:rPr>
          <w:rFonts w:eastAsiaTheme="majorEastAsia"/>
          <w:lang w:val="en-GB"/>
        </w:rPr>
      </w:pPr>
    </w:p>
    <w:p w:rsidR="00E01D16" w:rsidRPr="007D6282" w:rsidRDefault="00E01D16" w:rsidP="007D6282">
      <w:pPr>
        <w:spacing w:after="0"/>
        <w:rPr>
          <w:bCs/>
        </w:rPr>
      </w:pPr>
      <w:r>
        <w:t xml:space="preserve">Pašlaik EMPL ĢD programmā ir vairākas citas iniciatīvas, piemēram: </w:t>
      </w:r>
    </w:p>
    <w:p w:rsidR="007A1EBE" w:rsidRPr="007D6282" w:rsidRDefault="007A1EBE" w:rsidP="007D6282">
      <w:pPr>
        <w:spacing w:after="0"/>
        <w:rPr>
          <w:bCs/>
          <w:lang w:val="en-GB"/>
        </w:rPr>
      </w:pPr>
    </w:p>
    <w:p w:rsidR="00457987" w:rsidRPr="007D6282" w:rsidRDefault="007A1EBE" w:rsidP="007D6282">
      <w:pPr>
        <w:pStyle w:val="ListParagraph"/>
        <w:numPr>
          <w:ilvl w:val="0"/>
          <w:numId w:val="33"/>
        </w:numPr>
        <w:spacing w:after="0" w:line="288" w:lineRule="auto"/>
        <w:ind w:left="360"/>
        <w:jc w:val="both"/>
      </w:pPr>
      <w:r>
        <w:rPr>
          <w:rFonts w:ascii="Times New Roman" w:hAnsi="Times New Roman"/>
        </w:rPr>
        <w:t>sociālās ekonomikas rīcības plāns, kas gaidāms 2021. gadā. Sadarbībā varētu izskatīt darbības sociālās iekļaušanas, nodarbinātības radīšanas, aprūpes nozares (bērnu agrīnā aprūpe un gados vecāku cilvēku aprūpe) un citu sociālo pakalpojumu jomās, kā arī sociālo inovāciju sociālajā ekonomikā reģionālā un starpreģionu līmenī;</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 xml:space="preserve">adekvātas minimālās algas Eiropas Savienībā (šajā saistībā Komisija 2020. gada 28. oktobrī ierosināja direktīvu); </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darba nosacījumi sezonas darbiniekiem (Komisija 2020. gadā publicēja pamatnostādnes);</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demogrāfisko pārmaiņu aspekti EMPL ĢD kompetences jomā.</w:t>
      </w:r>
    </w:p>
    <w:p w:rsidR="007A1EBE" w:rsidRPr="007D6282" w:rsidRDefault="007A1EBE">
      <w:pPr>
        <w:rPr>
          <w:lang w:val="en-GB"/>
        </w:rPr>
      </w:pPr>
    </w:p>
    <w:p w:rsidR="00E01D16" w:rsidRPr="007D6282" w:rsidRDefault="00E01D16">
      <w:r>
        <w:t>RK tieksies pastiprināt apspriešanos ar vietējām un reģionālajām pašvaldībām, lai sniegtu ieguldījumu šajās darba jomās. Turklāt RK un EMPL ĢD tieksies pastiprināt apmaiņu saistībā ar minētajām tēmām.</w:t>
      </w:r>
    </w:p>
    <w:p w:rsidR="00E01D16" w:rsidRPr="007D6282" w:rsidRDefault="00E01D16">
      <w:pPr>
        <w:rPr>
          <w:lang w:val="en-GB"/>
        </w:rPr>
      </w:pPr>
    </w:p>
    <w:p w:rsidR="003E36A3" w:rsidRPr="007D6282" w:rsidRDefault="003E36A3">
      <w:r>
        <w:t>Lai nodrošinātu labāku sadarbību starp RK un EMPL ĢD, var apsvērt šādus papildu pasākumus:</w:t>
      </w:r>
    </w:p>
    <w:p w:rsidR="005B2DC3" w:rsidRPr="007D6282" w:rsidRDefault="005B2DC3">
      <w:pPr>
        <w:rPr>
          <w:lang w:val="en-GB"/>
        </w:rPr>
      </w:pP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regulārs politiskais dialogs — RK plenārsēdēs un SEDEC komisijas sanāksmēs;</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apsvērt RK locekļu un ziņotāju dalību EMPL ĢD rīkotajās konferencēs un pasākumos, kuros vietējā un reģionālā perspektīva sniedz pievienoto vērtību;</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pēc pieprasījuma informēt RK locekļus par pieejamo ES finansējumu un politikas atbalstu, lai apliecinātu, ka ES var palīdzēt reģioniem un pilsētām veikt zaļo un digitālo pārkārtošanos;</w:t>
      </w:r>
    </w:p>
    <w:p w:rsidR="002E7C63" w:rsidRPr="007D6282" w:rsidRDefault="007A1EBE" w:rsidP="007D6282">
      <w:pPr>
        <w:pStyle w:val="ListParagraph"/>
        <w:numPr>
          <w:ilvl w:val="0"/>
          <w:numId w:val="17"/>
        </w:numPr>
        <w:spacing w:after="0" w:line="288" w:lineRule="auto"/>
        <w:ind w:left="357" w:hanging="357"/>
        <w:jc w:val="both"/>
      </w:pPr>
      <w:r>
        <w:rPr>
          <w:rFonts w:ascii="Times New Roman" w:hAnsi="Times New Roman"/>
        </w:rPr>
        <w:t>attiecīgā gadījumā apsvērt kopīgus komunikācijas pasākumus;</w:t>
      </w:r>
    </w:p>
    <w:p w:rsidR="006D7CA9" w:rsidRPr="007D6282" w:rsidRDefault="007A1EBE" w:rsidP="007D6282">
      <w:pPr>
        <w:pStyle w:val="ListParagraph"/>
        <w:numPr>
          <w:ilvl w:val="0"/>
          <w:numId w:val="17"/>
        </w:numPr>
        <w:spacing w:after="0" w:line="288" w:lineRule="auto"/>
        <w:ind w:left="357" w:hanging="357"/>
        <w:jc w:val="both"/>
      </w:pPr>
      <w:r>
        <w:t>apsvērt iespēju panākt sinerģijas ar citu ĢD iniciatīvām, piemēram, S3 rūpnieciskās modernizācijas tematiskās platformas partnerību sociālās ekonomikas jomā (</w:t>
      </w:r>
      <w:hyperlink r:id="rId15" w:history="1">
        <w:r>
          <w:rPr>
            <w:rStyle w:val="Hyperlink"/>
            <w:rFonts w:ascii="Times New Roman" w:hAnsi="Times New Roman"/>
          </w:rPr>
          <w:t>https://s3platform.jrc.ec.europa.eu/social-economy</w:t>
        </w:r>
      </w:hyperlink>
      <w:r>
        <w:t>).</w:t>
      </w:r>
    </w:p>
    <w:p w:rsidR="006D7CA9" w:rsidRPr="007D6282" w:rsidRDefault="006D7CA9">
      <w:pPr>
        <w:rPr>
          <w:lang w:val="en-GB"/>
        </w:rPr>
      </w:pPr>
    </w:p>
    <w:p w:rsidR="006D7CA9" w:rsidRPr="007D6282" w:rsidRDefault="0068468C" w:rsidP="007D6282">
      <w:pPr>
        <w:pStyle w:val="Heading1"/>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Turpmākie pasākumi:</w:t>
      </w:r>
    </w:p>
    <w:p w:rsidR="006D7CA9" w:rsidRPr="007D6282" w:rsidRDefault="006D7CA9" w:rsidP="007D6282">
      <w:pPr>
        <w:keepNext/>
        <w:rPr>
          <w:lang w:val="en-GB"/>
        </w:rPr>
      </w:pPr>
    </w:p>
    <w:p w:rsidR="000F448C" w:rsidRPr="003814FB" w:rsidRDefault="00DC0DF4" w:rsidP="007D6282">
      <w:pPr>
        <w:jc w:val="both"/>
      </w:pPr>
      <w:r>
        <w:t>Gan EMPL ĢD, gan RK paredzēs kontaktpersonas Eiropas vietējo darbvietu gadatirgu koncepcijas un kārtības detalizētākai noteikšanai un veiksmīgas sadarbības un darbību koordinācijas nodrošināšanai administratīvā līmenī.</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Malgun Gothic Semilight"/>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5B6888" w:rsidRPr="0035613F" w:rsidRDefault="00EB2F01" w:rsidP="005B6888">
        <w:pPr>
          <w:jc w:val="center"/>
          <w:rPr>
            <w:b/>
          </w:rPr>
        </w:pPr>
        <w:r>
          <w:fldChar w:fldCharType="begin"/>
        </w:r>
        <w:r>
          <w:instrText xml:space="preserve"> PAGE   \* MERGEFORMAT </w:instrText>
        </w:r>
        <w:r>
          <w:fldChar w:fldCharType="separate"/>
        </w:r>
        <w:r w:rsidR="005B6888">
          <w:rPr>
            <w:noProof/>
          </w:rPr>
          <w:t>1</w:t>
        </w:r>
        <w:r>
          <w:fldChar w:fldCharType="end"/>
        </w:r>
        <w:r w:rsidR="005B6888">
          <w:t xml:space="preserve"> </w:t>
        </w:r>
        <w:r w:rsidR="005B6888" w:rsidRPr="00304A1D">
          <w:rPr>
            <w:sz w:val="18"/>
            <w:szCs w:val="18"/>
          </w:rPr>
          <w:t>Tulkots un rediģēts, izmantojot ārpakalpojumus</w:t>
        </w:r>
      </w:p>
      <w:p w:rsidR="00EB2F01" w:rsidRDefault="005B6888" w:rsidP="005B6888">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https://ec.europa.eu/commission/sites/beta-political/files/reflection-paper-social-dimension-europe_lv.pdf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https://eur-lex.europa.eu/LexUriServ/LexUriServ.do?uri=OJ:C:2012:102:0006:0010:LV:PDF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Paziņojumā “Jauniešu nodarbinātības atbalsts — tilts uz darbvietām nākamajai paaudzei” (COM(2020) 276 final) Komisija mudināja dalībvalstis pastiprināt atbalstu jauniešu nodarbinātībai un palielināt šim mērķim paredzēto līmeni salīdzinājumā ar 2014.–2020. gada finansēšanas periodu, tā aplēstais apmērs ir 22 miljardi EUR.</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r>
      <w:r w:rsidRPr="008A2F71">
        <w:rPr>
          <w:sz w:val="16"/>
          <w:szCs w:val="16"/>
        </w:rPr>
        <w:t>Par Padomes ieteikumu “Tilts uz darbvietām — Garantijas jauniešiem pastiprināšana” ir gūta politiska vienošanās Padomē, un tas tiks pieņemts līdz 2020. gada beigām.</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2107"/>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B6888"/>
    <w:rsid w:val="005C55D6"/>
    <w:rsid w:val="005D06A9"/>
    <w:rsid w:val="005D5EB3"/>
    <w:rsid w:val="005E422E"/>
    <w:rsid w:val="00600069"/>
    <w:rsid w:val="00601828"/>
    <w:rsid w:val="006106B7"/>
    <w:rsid w:val="0062568E"/>
    <w:rsid w:val="00635994"/>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A2F71"/>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EAAEAAD"/>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lv-LV"/>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lv-LV"/>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lv-LV"/>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lv-LV"/>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lv-LV"/>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lv-LV"/>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lv-LV"/>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lv-LV"/>
    </w:rPr>
  </w:style>
  <w:style w:type="character" w:customStyle="1" w:styleId="Heading3Char">
    <w:name w:val="Heading 3 Char"/>
    <w:basedOn w:val="DefaultParagraphFont"/>
    <w:link w:val="Heading3"/>
    <w:rsid w:val="00A31CB4"/>
    <w:rPr>
      <w:lang w:val="lv-LV"/>
    </w:rPr>
  </w:style>
  <w:style w:type="character" w:customStyle="1" w:styleId="Heading4Char">
    <w:name w:val="Heading 4 Char"/>
    <w:basedOn w:val="DefaultParagraphFont"/>
    <w:link w:val="Heading4"/>
    <w:rsid w:val="00A31CB4"/>
    <w:rPr>
      <w:lang w:val="lv-LV"/>
    </w:rPr>
  </w:style>
  <w:style w:type="character" w:customStyle="1" w:styleId="Heading5Char">
    <w:name w:val="Heading 5 Char"/>
    <w:basedOn w:val="DefaultParagraphFont"/>
    <w:link w:val="Heading5"/>
    <w:rsid w:val="00A31CB4"/>
    <w:rPr>
      <w:lang w:val="lv-LV"/>
    </w:rPr>
  </w:style>
  <w:style w:type="character" w:customStyle="1" w:styleId="Heading6Char">
    <w:name w:val="Heading 6 Char"/>
    <w:basedOn w:val="DefaultParagraphFont"/>
    <w:link w:val="Heading6"/>
    <w:rsid w:val="00A31CB4"/>
    <w:rPr>
      <w:lang w:val="lv-LV"/>
    </w:rPr>
  </w:style>
  <w:style w:type="character" w:customStyle="1" w:styleId="Heading7Char">
    <w:name w:val="Heading 7 Char"/>
    <w:basedOn w:val="DefaultParagraphFont"/>
    <w:link w:val="Heading7"/>
    <w:rsid w:val="00A31CB4"/>
    <w:rPr>
      <w:lang w:val="lv-LV"/>
    </w:rPr>
  </w:style>
  <w:style w:type="character" w:customStyle="1" w:styleId="Heading8Char">
    <w:name w:val="Heading 8 Char"/>
    <w:basedOn w:val="DefaultParagraphFont"/>
    <w:link w:val="Heading8"/>
    <w:rsid w:val="00A31CB4"/>
    <w:rPr>
      <w:lang w:val="lv-LV"/>
    </w:rPr>
  </w:style>
  <w:style w:type="character" w:customStyle="1" w:styleId="Heading9Char">
    <w:name w:val="Heading 9 Char"/>
    <w:basedOn w:val="DefaultParagraphFont"/>
    <w:link w:val="Heading9"/>
    <w:rsid w:val="00A31CB4"/>
    <w:rPr>
      <w:lang w:val="lv-LV"/>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LV:PDF" TargetMode="External"/><Relationship Id="rId1" Type="http://schemas.openxmlformats.org/officeDocument/2006/relationships/hyperlink" Target="https://ec.europa.eu/commission/sites/beta-political/files/reflection-paper-social-dimension-europe_lv.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3T5AXJEHYTWU-1246943346-5437</_dlc_DocId>
    <_dlc_DocIdUrl xmlns="0b452354-65a4-4dd6-8824-e6b830247e3e">
      <Url>http://dm2016/cor/2020/_layouts/15/DocIdRedir.aspx?ID=3T5AXJEHYTWU-1246943346-5437</Url>
      <Description>3T5AXJEHYTWU-1246943346-5437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35B5C1B9-2AD6-45FF-813D-24361DE34ECA}"/>
</file>

<file path=customXml/itemProps2.xml><?xml version="1.0" encoding="utf-8"?>
<ds:datastoreItem xmlns:ds="http://schemas.openxmlformats.org/officeDocument/2006/customXml" ds:itemID="{AA9A7537-32CE-48D5-B0FB-CA4BC0FD0AFA}"/>
</file>

<file path=customXml/itemProps3.xml><?xml version="1.0" encoding="utf-8"?>
<ds:datastoreItem xmlns:ds="http://schemas.openxmlformats.org/officeDocument/2006/customXml" ds:itemID="{142926F8-0038-485D-80CD-22BFB4C8C4F7}"/>
</file>

<file path=customXml/itemProps4.xml><?xml version="1.0" encoding="utf-8"?>
<ds:datastoreItem xmlns:ds="http://schemas.openxmlformats.org/officeDocument/2006/customXml" ds:itemID="{30F32BC1-8A76-401D-A771-1D77FC0A332E}"/>
</file>

<file path=docProps/app.xml><?xml version="1.0" encoding="utf-8"?>
<Properties xmlns="http://schemas.openxmlformats.org/officeDocument/2006/extended-properties" xmlns:vt="http://schemas.openxmlformats.org/officeDocument/2006/docPropsVTypes">
  <Template>Styles.dotm</Template>
  <TotalTime>3</TotalTime>
  <Pages>8</Pages>
  <Words>2490</Words>
  <Characters>14197</Characters>
  <Application>Microsoft Office Word</Application>
  <DocSecurity>0</DocSecurity>
  <Lines>118</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Jomas ciešākai sadarbībai starp Eiropas Reģionu komiteju (RK) un Eiropas Komisijas Nodarbinātības, sociālo lietu un iekļautības ģenerāldirektorātu ( EMPL ĢD)</dc:title>
  <dc:creator>Thomas Wobben</dc:creator>
  <cp:keywords>COR-2020-04835-00-01-TCD-TRA-EN</cp:keywords>
  <dc:description>Rapporteur:  - Original language: EN - Date of document: 20/11/2020 - Date of meeting: 25/11/2020 - External documents:  - Administrator:  PETRAS Georgios</dc:description>
  <cp:lastModifiedBy>Jolanta Erlate</cp:lastModifiedBy>
  <cp:revision>7</cp:revision>
  <cp:lastPrinted>2020-10-07T12:59:00Z</cp:lastPrinted>
  <dcterms:created xsi:type="dcterms:W3CDTF">2020-11-17T16:19:00Z</dcterms:created>
  <dcterms:modified xsi:type="dcterms:W3CDTF">2020-11-20T08:33:00Z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54d2a334-11d7-4d97-b4d1-12c492ebde6e</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5;#Unrestricted|826e22d7-d029-4ec0-a450-0c28ff673572;#8;#TRA|150d2a88-1431-44e6-a8ca-0bb753ab8672;#7;#EN|f2175f21-25d7-44a3-96da-d6a61b075e1b;#6;#Final|ea5e6674-7b27-4bac-b091-73adbb394efe;#22;#TCD|cd9d6eb6-3f4f-424a-b2d1-57c9d450eaaf;#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31;#LV|46f7e311-5d9f-4663-b433-18aeccb7ace7</vt:lpwstr>
  </property>
  <property fmtid="{D5CDD505-2E9C-101B-9397-08002B2CF9AE}" pid="39" name="_docset_NoMedatataSyncRequired">
    <vt:lpwstr>False</vt:lpwstr>
  </property>
</Properties>
</file>