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B5D" w:rsidRPr="003814FB" w:rsidRDefault="0023381A" w:rsidP="00151730">
      <w:pPr>
        <w:rPr>
          <w:b/>
          <w:sz w:val="36"/>
          <w:szCs w:val="36"/>
          <w:u w:val="singl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062ED57" wp14:editId="16948DE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02400" cy="925200"/>
            <wp:effectExtent l="0" t="0" r="0" b="8255"/>
            <wp:wrapNone/>
            <wp:docPr id="5" name="Picture 5" descr="LOGO-CE for Word EN Posi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CE for Word EN Positiv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92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0135">
        <w:rPr>
          <w:b/>
          <w:bCs/>
          <w:noProof/>
          <w:sz w:val="32"/>
          <w:lang w:val="en-US"/>
        </w:rPr>
        <w:drawing>
          <wp:inline distT="0" distB="0" distL="0" distR="0" wp14:anchorId="6013D9AA" wp14:editId="74922E4A">
            <wp:extent cx="1404738" cy="1216375"/>
            <wp:effectExtent l="0" t="0" r="5080" b="3175"/>
            <wp:docPr id="23" name="Picture 23" descr="C:\Users\mreg\Music\New LOGO CoR\Logo\logo_CoR-vertical-positive-mt-quadri_MR.jpg" title="CoRLogo_M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reg\Music\New LOGO CoR\Logo\logo_CoR-vertical-positive-mt-quadri_M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295" cy="12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5D" w:rsidRPr="003814FB" w:rsidRDefault="00C82EBC">
      <w:pPr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20"/>
          <w:szCs w:val="3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A16B62C" wp14:editId="245779F2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EBC" w:rsidRPr="00260E65" w:rsidRDefault="00C82E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6B62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533pt;margin-top:793.8pt;width:51pt;height:31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0EtQIAALk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B2tl0EtQIAALkF&#10;AAAOAAAAAAAAAAAAAAAAAC4CAABkcnMvZTJvRG9jLnhtbFBLAQItABQABgAIAAAAIQDrVDFa3gAA&#10;AA8BAAAPAAAAAAAAAAAAAAAAAA8FAABkcnMvZG93bnJldi54bWxQSwUGAAAAAAQABADzAAAAGgYA&#10;AAAA&#10;" o:allowincell="f" filled="f" stroked="f">
                <v:textbox>
                  <w:txbxContent>
                    <w:p w:rsidR="00C82EBC" w:rsidRPr="00260E65" w:rsidRDefault="00C82EB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MT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2285A" w:rsidRPr="003814FB" w:rsidRDefault="00C34231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 xml:space="preserve">Oqsma għal kooperazzjoni msaħħa </w:t>
      </w:r>
      <w:r>
        <w:rPr>
          <w:b/>
          <w:sz w:val="36"/>
          <w:u w:val="single"/>
        </w:rPr>
        <w:br/>
        <w:t xml:space="preserve">bejn il-Kumitat Ewropew tar-Reġjuni (KtR) </w:t>
      </w:r>
      <w:r>
        <w:rPr>
          <w:b/>
          <w:sz w:val="36"/>
          <w:u w:val="single"/>
        </w:rPr>
        <w:br/>
        <w:t>u d-Direttorat Ġenerali tal-Impjiegi, l-Affarijiet Soċjali u l-Inklużjoni (DĠ EMPL) tal-Kummissjoni Ewropea</w:t>
      </w:r>
    </w:p>
    <w:p w:rsidR="001C24E4" w:rsidRPr="003814FB" w:rsidRDefault="001C24E4">
      <w:pPr>
        <w:jc w:val="center"/>
        <w:rPr>
          <w:b/>
          <w:sz w:val="36"/>
          <w:szCs w:val="36"/>
          <w:u w:val="single"/>
          <w:lang w:val="en-GB"/>
        </w:rPr>
      </w:pPr>
    </w:p>
    <w:p w:rsidR="009521C5" w:rsidRPr="007D6282" w:rsidRDefault="009521C5" w:rsidP="007D6282">
      <w:pPr>
        <w:pStyle w:val="Heading1"/>
        <w:numPr>
          <w:ilvl w:val="0"/>
          <w:numId w:val="22"/>
        </w:numPr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Introduzzjoni</w:t>
      </w:r>
    </w:p>
    <w:p w:rsidR="00014693" w:rsidRPr="007D6282" w:rsidRDefault="00014693">
      <w:pPr>
        <w:rPr>
          <w:sz w:val="24"/>
          <w:szCs w:val="24"/>
          <w:lang w:val="en-GB"/>
        </w:rPr>
      </w:pPr>
    </w:p>
    <w:p w:rsidR="00014E6A" w:rsidRPr="007D6282" w:rsidRDefault="00C82EBC">
      <w:pPr>
        <w:rPr>
          <w:color w:val="000000"/>
        </w:rPr>
      </w:pPr>
      <w:r>
        <w:t>Jidher ċar, anke minn qabel il-kriżi tal-COVID-19, li “Ewropa soċjali” hija kruċjali għall-kontribut tal-UE għal soċjetajiet demokratiċi, koeżivi, kulturalment diversi u prosperużi. Dan ifisser progress ekonomiku u soċjali, il-ġlieda kontra d-diskriminazzjoni u l-esklużjoni soċjali, l-adattament tal-Ewropej għas-suq tax-xogħol u l-opportunità li jgħixu ħajja sodisfaċenti</w:t>
      </w:r>
      <w:r w:rsidR="00014E6A" w:rsidRPr="007D6282">
        <w:rPr>
          <w:rStyle w:val="FootnoteReference"/>
          <w:lang w:val="en-GB"/>
        </w:rPr>
        <w:footnoteReference w:id="2"/>
      </w:r>
      <w:r>
        <w:t xml:space="preserve">. </w:t>
      </w:r>
    </w:p>
    <w:p w:rsidR="00014E6A" w:rsidRPr="007D6282" w:rsidRDefault="00014E6A">
      <w:pPr>
        <w:rPr>
          <w:color w:val="000000"/>
          <w:lang w:val="en-GB"/>
        </w:rPr>
      </w:pPr>
    </w:p>
    <w:p w:rsidR="00014E6A" w:rsidRPr="003814FB" w:rsidRDefault="00014E6A" w:rsidP="005D5EB3">
      <w:pPr>
        <w:jc w:val="both"/>
      </w:pPr>
      <w:r>
        <w:t xml:space="preserve">Filwaqt li l-Kumitat Ewropew tar-Reġjuni (KtR) u d-Direttorat Ġenerali tal-Impjiegi, l-Affarijiet Soċjali u l-Inklużjoni (DĠ EMPL) ikkooperaw f’diversi oqsma fil-passat, madankollu, huwa evidenti li l-isfidi tal-ġejjieni u l-interess qawwi tal-Kummissarju inkarigat jipprovdu tieqa ta’ opportunità biex il-kooperazzjoni bejn il-Kummissjoni u l-KtR f’dan il-qasam titqiegħed fuq livell ġdid. </w:t>
      </w:r>
    </w:p>
    <w:p w:rsidR="00014E6A" w:rsidRPr="003814FB" w:rsidRDefault="00014E6A">
      <w:pPr>
        <w:rPr>
          <w:lang w:val="en-GB"/>
        </w:rPr>
      </w:pPr>
    </w:p>
    <w:p w:rsidR="00014E6A" w:rsidRPr="007D6282" w:rsidRDefault="00014E6A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 xml:space="preserve">Il-Kummissarju Schmit wera interess notevoli fil-KtR, u diġà pparteċipa f’żewġ plenarji u laqgħa tal-Kummissjoni għall-Politika Soċjali, l-Edukazzjoni, l-Impjieg, ir-Riċerka u l-Kultura (SEDEC) f’inqas minn sena. 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>Joost Korte (Direttur Ġenerali tad-DĠ EMPL) attenda l-laqgħa tal-Kummissjoni SEDEC fi Frar 2020, li fiha għamel diskors fejn ħeġġeġ lill-membri tal-KtR jipprovdu feedback kif mitlub mill-Komunikazzjoni tal-Kummissjoni dwar Ewropa Soċjali b’Saħħitha għal Tranżizzjonijiet Ġusti (SEDEC diġà tinsab fil-proċess li tfassal Opinjoni dwar dan);</w:t>
      </w:r>
    </w:p>
    <w:p w:rsidR="00164C40" w:rsidRPr="007D6282" w:rsidRDefault="00164C40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lastRenderedPageBreak/>
        <w:t>Kemm il-Kummissarju kif ukoll id-Direttur Ġenerali ddikjaraw b’mod ċar li huma jistennew li l-KtR jimpenja ruħu b’mod attiv fit-tħejjija tas-Summit Soċjali ta’ Porto (Mejju 2021) u l-Pjan ta’ Azzjoni għall-implimentazzjoni tal-Pilastru Ewropew tad-Drittijiet Soċjali.</w:t>
      </w:r>
    </w:p>
    <w:p w:rsidR="006A6308" w:rsidRPr="007D6282" w:rsidRDefault="006A6308" w:rsidP="007D6282">
      <w:pPr>
        <w:pStyle w:val="ListParagraph"/>
        <w:numPr>
          <w:ilvl w:val="0"/>
          <w:numId w:val="26"/>
        </w:numPr>
        <w:ind w:left="360"/>
        <w:jc w:val="both"/>
      </w:pPr>
      <w:r>
        <w:rPr>
          <w:rFonts w:ascii="Times New Roman" w:hAnsi="Times New Roman"/>
        </w:rPr>
        <w:t>L-ispirtu ta’ kollaborazzjoni reċiproka ġie promoss aktar matul il-laqgħa tal-Kummissarju u l-President tal-KtR (9 ta’ Lulju), li fiha ġie kkonfermat li ż-żewġ istituzzjonijiet għandhom isibu aktar opportunitajiet għal kooperazzjoni.</w:t>
      </w:r>
    </w:p>
    <w:p w:rsidR="00864E4E" w:rsidRPr="003814FB" w:rsidRDefault="00864E4E" w:rsidP="005D5EB3">
      <w:pPr>
        <w:jc w:val="both"/>
      </w:pPr>
      <w:r>
        <w:t>Fil-Protokoll dwar il-kooperazzjoni bejn il-Kummissjoni Ewropea u l-Kumitat tar-Reġjuni (2012/C 102/02)</w:t>
      </w:r>
      <w:r w:rsidRPr="007D6282">
        <w:rPr>
          <w:lang w:val="en-GB"/>
        </w:rPr>
        <w:footnoteReference w:id="3"/>
      </w:r>
      <w:r>
        <w:t>, il-Kummissjoni u l-KtR qablu li jintensifikaw il-kollaborazzjoni tagħhom. Din in-nota konġunta tal-KtR u DĠ EMPL tistabbilixxi l-oqsma ta’ politika għal kollaborazzjoni intensifikata u l-istrumenti ewlenin.</w:t>
      </w:r>
    </w:p>
    <w:p w:rsidR="003D208F" w:rsidRPr="003814FB" w:rsidRDefault="003D208F">
      <w:pPr>
        <w:rPr>
          <w:lang w:val="en-GB"/>
        </w:rPr>
      </w:pPr>
    </w:p>
    <w:p w:rsidR="00EB524C" w:rsidRPr="007D6282" w:rsidRDefault="00EA2779" w:rsidP="007D6282">
      <w:pPr>
        <w:pStyle w:val="Heading1"/>
        <w:numPr>
          <w:ilvl w:val="0"/>
          <w:numId w:val="22"/>
        </w:numPr>
        <w:spacing w:before="0"/>
        <w:ind w:left="567" w:hanging="567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Temi ewlenin għal kooperazzjoni aktar mill-qrib bejn il-KtR u d-DĠ EMPL</w:t>
      </w:r>
    </w:p>
    <w:p w:rsidR="004D765D" w:rsidRPr="003814FB" w:rsidRDefault="004D765D" w:rsidP="007D6282">
      <w:pPr>
        <w:keepNext/>
        <w:rPr>
          <w:lang w:val="en-GB"/>
        </w:rPr>
      </w:pPr>
    </w:p>
    <w:p w:rsidR="00964812" w:rsidRPr="007D6282" w:rsidRDefault="008E118B">
      <w:r>
        <w:t>Minħabba l-ambitu wiesa’ ta’ suġġetti marbuta mad-dimensjoni soċjali u fid-dawl tar-riżorsi disponibbli, huwa importanti li l-kooperazzjoni intensifikata tiġi kkonċentrata f’oqsma fejn il-KtR jista’ jipprovdi valur miżjud ċar u fejn id-dimensjoni territorjali hija l-aktar b’saħħitha. Filwaqt li ma jipprevjenux/jimpedixxux kooperazzjoni f’oqsma oħrajn, b’mod partikolari rigward tal-promozzjoni tal-ekonomija soċjali, l-oqsma ta’ kooperazzjoni msaħħa huma għalhekk dawn li ġejjin:</w:t>
      </w:r>
    </w:p>
    <w:p w:rsidR="003D208F" w:rsidRPr="007D6282" w:rsidRDefault="003D208F">
      <w:pPr>
        <w:rPr>
          <w:lang w:val="en-GB"/>
        </w:rPr>
      </w:pPr>
    </w:p>
    <w:p w:rsidR="00EA2779" w:rsidRPr="007D6282" w:rsidRDefault="00EA2779" w:rsidP="007D6282">
      <w:pPr>
        <w:pStyle w:val="Heading2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2.1.</w:t>
      </w:r>
      <w:r>
        <w:tab/>
      </w:r>
      <w:r>
        <w:rPr>
          <w:rFonts w:ascii="Times New Roman" w:hAnsi="Times New Roman"/>
          <w:b/>
          <w:sz w:val="24"/>
          <w:szCs w:val="32"/>
        </w:rPr>
        <w:t>Il-Pilastru Ewropew tad-Drittijiet Soċjali</w:t>
      </w:r>
    </w:p>
    <w:p w:rsidR="00EA2779" w:rsidRPr="007D6282" w:rsidRDefault="00EA2779" w:rsidP="007D6282">
      <w:pPr>
        <w:rPr>
          <w:b/>
          <w:u w:val="single"/>
          <w:lang w:val="en-GB"/>
        </w:rPr>
      </w:pPr>
    </w:p>
    <w:p w:rsidR="005366D6" w:rsidRPr="007D6282" w:rsidRDefault="005366D6" w:rsidP="007D6282">
      <w:pPr>
        <w:rPr>
          <w:szCs w:val="24"/>
        </w:rPr>
      </w:pPr>
      <w:r>
        <w:t>Il-Pilastru Ewropew tad-Drittijiet Soċjali huwa dokument kunsenswali li jirrifletti dak li tirrappreżenta l-Unjoni fil-qasam tal-impjiegi u l-affarijiet soċjali.</w:t>
      </w:r>
      <w:r>
        <w:rPr>
          <w:i/>
          <w:szCs w:val="24"/>
        </w:rPr>
        <w:t xml:space="preserve"> </w:t>
      </w:r>
      <w:r>
        <w:t>Ġiet proklamat fl-ogħla livell politiku u diġà ġab miegħu miżuri estensivi fil-livell tal-UE, nazzjonali, reġjonali u lokali li jsaħħu d-dimensjoni soċjali tal-UE. Permezz tal-Komunikazzjoni tagħha tas-27 ta’ Mejju 2020, il-Kummissjoni poġġiet ukoll il-Pilastru Ewropew tad-Drittijiet Soċjali fil-qalba tal-pjan direzzjonali tagħha għal irkupru ġust u inklużiv mill-kriżi tal-COVID-19.</w:t>
      </w:r>
    </w:p>
    <w:p w:rsidR="005366D6" w:rsidRPr="007D6282" w:rsidRDefault="005366D6">
      <w:pPr>
        <w:rPr>
          <w:szCs w:val="24"/>
          <w:lang w:val="en-GB" w:eastAsia="fr-BE"/>
        </w:rPr>
      </w:pPr>
    </w:p>
    <w:p w:rsidR="005366D6" w:rsidRPr="007D6282" w:rsidRDefault="005366D6">
      <w:pPr>
        <w:rPr>
          <w:szCs w:val="24"/>
        </w:rPr>
      </w:pPr>
      <w:r>
        <w:t xml:space="preserve">L-Aġenda Strateġika għall-perjodu 2019-2024, li ntlaħaq ftehim dwarha mill-Kunsill Ewropew f’Ġunju 2019, tappella għall-implimentazzjoni tal-Pilastru fil-livell tal-UE u tal-Istati Membri, filwaqt li tingħata l-attenzjoni mistħoqqha lill-kompetenzi rispettivi. </w:t>
      </w:r>
    </w:p>
    <w:p w:rsidR="003D208F" w:rsidRPr="007D6282" w:rsidRDefault="003D208F">
      <w:pPr>
        <w:rPr>
          <w:szCs w:val="24"/>
          <w:lang w:val="en-GB" w:eastAsia="en-GB"/>
        </w:rPr>
      </w:pPr>
    </w:p>
    <w:p w:rsidR="005366D6" w:rsidRPr="007D6282" w:rsidRDefault="005366D6">
      <w:pPr>
        <w:rPr>
          <w:szCs w:val="24"/>
        </w:rPr>
      </w:pPr>
      <w:r>
        <w:t xml:space="preserve">Permezz tal-linji gwida politiċi tal-President von der Leyen, il-Kummissjoni timpenja ruħhom litressaq Pjan ta’ Azzjoni għall-implimentazzjoni sħiħa tal-Pilastru Ewropew tad-Drittijiet Soċjali. Il-Komunikazzjoni tal-Kummissjoni tal-14 ta’ Jannar 2020 dwar Ewropa Soċjali b’Saħħitha għal Tranżizzjonijiet Ġusti ressqet għadd ta’ azzjonijiet ewlenin għall-2020 u l-2021 u nediet konsultazzjoni </w:t>
      </w:r>
      <w:r>
        <w:lastRenderedPageBreak/>
        <w:t>wiesgħa u proċess ta’ involviment biex jikkontribwixxu għat-tħejjijiet għall-Pjan ta’ Azzjoni. Il-ħtieġa għal appoġġ u protezzjoni soċjali hija saħansitra aktar akuta matul il-pandemija tal-COVID-19 li għaddejja bħalissa, peress li s-sistemi ta’ appoġġ soċjali tal-Istati Membri kienu taħt pressjoni tremenda u n-nisġa soċjali tal-UE tinsab fil-periklu.</w:t>
      </w:r>
    </w:p>
    <w:p w:rsidR="005366D6" w:rsidRPr="007D6282" w:rsidRDefault="005366D6">
      <w:pPr>
        <w:rPr>
          <w:szCs w:val="24"/>
          <w:lang w:val="en-GB" w:eastAsia="en-GB"/>
        </w:rPr>
      </w:pPr>
    </w:p>
    <w:p w:rsidR="005366D6" w:rsidRPr="007D6282" w:rsidRDefault="005366D6">
      <w:pPr>
        <w:autoSpaceDE w:val="0"/>
        <w:autoSpaceDN w:val="0"/>
        <w:adjustRightInd w:val="0"/>
        <w:rPr>
          <w:szCs w:val="24"/>
        </w:rPr>
      </w:pPr>
      <w:r>
        <w:t xml:space="preserve">L-objettiv tal-Kummissjoni huwa li tippreżenta l-Pjan ta’ Azzjoni kmieni fl-2021, u li timmira għall-approvazzjoni tiegħu fl-ogħla livell politiku fis-Summit Soċjali li għandu jiġi organizzat mill-Presidenza Portugiża tal-Kunsill f’Mejju 2021. </w:t>
      </w:r>
    </w:p>
    <w:p w:rsidR="00CE0C02" w:rsidRPr="007D6282" w:rsidRDefault="00CE0C02">
      <w:pPr>
        <w:rPr>
          <w:bCs/>
          <w:u w:val="single"/>
          <w:lang w:val="en-GB"/>
        </w:rPr>
      </w:pPr>
    </w:p>
    <w:p w:rsidR="00EA2779" w:rsidRPr="007D6282" w:rsidRDefault="00B40809" w:rsidP="007D6282">
      <w:pPr>
        <w:rPr>
          <w:bCs/>
        </w:rPr>
      </w:pPr>
      <w:r>
        <w:t>Huwa evidenti li l-awtoritajiet lokali u reġjonali għandhom rwol importanti fit-tfassil u l-implimentazzjoni tal-politiki tal-impjiegi u soċjali fl-UE. Reġjuni differenti ġew affettwati b’modi differenti ħafna mill-kriżi tal-COVID-19, skont l-istruttura ekonomika u l-esponiment tagħhom għar-riskji marbuta mas-saħħa. L-awtoritajiet lokali u reġjonali jistgħu jgħinu fl-iżvilupp u l-implimentazzjoni ta’ rispons għall-kriżi li se jindirizza l-isfidi ta’ qabel u ta’ wara l-kriżi għall-koeżjoni soċjali u territorjali. Għalhekk huwa neċessarju li jiġu involuti l-awtoritajiet lokali u reġjonali, b’mod partikolari, permezz ta’:</w:t>
      </w:r>
    </w:p>
    <w:p w:rsidR="00CB78E1" w:rsidRPr="007D6282" w:rsidRDefault="00CB78E1" w:rsidP="007D6282">
      <w:pPr>
        <w:rPr>
          <w:bCs/>
          <w:u w:val="single"/>
          <w:lang w:val="en-GB"/>
        </w:rPr>
      </w:pPr>
    </w:p>
    <w:p w:rsidR="00CB78E1" w:rsidRPr="007D6282" w:rsidRDefault="00F771E0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L-Opinjoni tal-KtR dwar Ewropa Soċjali b’Saħħitha għal Tranżizzjonijiet Ġusti (relatur Anne Karjalainen (FI/PSE), adottata fis-sessjoni plenarja ta’ Ottubru 2020), li tikkostitwixxi t-tweġiba ġenerali tal-KtR għall-Komunikazzjoni tal-Kummissjoni;</w:t>
      </w:r>
    </w:p>
    <w:p w:rsidR="00421A56" w:rsidRPr="007D6282" w:rsidRDefault="00421A56" w:rsidP="007D6282">
      <w:pPr>
        <w:pStyle w:val="ListParagraph"/>
        <w:spacing w:after="0" w:line="288" w:lineRule="auto"/>
        <w:ind w:left="360"/>
        <w:jc w:val="both"/>
        <w:rPr>
          <w:bCs/>
        </w:rPr>
      </w:pPr>
    </w:p>
    <w:p w:rsidR="00176CAE" w:rsidRPr="007D6282" w:rsidRDefault="00176CAE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L-Opinjoni tal-KtR dwar Pjan għall-futur għall-ħaddiema fis-setturi tal-kura u l-indukrar – Sfida Ewropea u opportunitajiet lokali u reġjonali (relatur għad irid jiġi kkonfermat);</w:t>
      </w:r>
    </w:p>
    <w:p w:rsidR="00E136C4" w:rsidRPr="007D6282" w:rsidRDefault="00E136C4" w:rsidP="007D6282">
      <w:pPr>
        <w:pStyle w:val="ListParagraph"/>
        <w:spacing w:after="0" w:line="288" w:lineRule="auto"/>
        <w:ind w:left="360"/>
        <w:jc w:val="both"/>
      </w:pPr>
    </w:p>
    <w:p w:rsidR="00F771E0" w:rsidRPr="007D6282" w:rsidRDefault="00421A56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Sessjoni tal-Ġimgħa Ewropea tar-Reġjuni u l-Bliet 2020 dwar “Sigurtà soċjali għall-ħaddiema tal-pjattaformi – sfidi u opportunitajiet” bil-parteċipazzjoni tad-DĠ EMPL;</w:t>
      </w:r>
    </w:p>
    <w:p w:rsidR="00267B85" w:rsidRPr="007D6282" w:rsidRDefault="00267B85" w:rsidP="007D6282">
      <w:pPr>
        <w:pStyle w:val="ListParagraph"/>
        <w:spacing w:after="0" w:line="288" w:lineRule="auto"/>
        <w:ind w:left="360"/>
        <w:jc w:val="both"/>
      </w:pPr>
    </w:p>
    <w:p w:rsidR="00512960" w:rsidRPr="007D6282" w:rsidRDefault="00F5129F" w:rsidP="007D6282">
      <w:pPr>
        <w:pStyle w:val="ListParagraph"/>
        <w:numPr>
          <w:ilvl w:val="0"/>
          <w:numId w:val="19"/>
        </w:numPr>
        <w:spacing w:after="0" w:line="288" w:lineRule="auto"/>
        <w:ind w:left="360"/>
        <w:jc w:val="both"/>
        <w:rPr>
          <w:b/>
          <w:u w:val="single"/>
        </w:rPr>
      </w:pPr>
      <w:r>
        <w:rPr>
          <w:rFonts w:ascii="Times New Roman" w:hAnsi="Times New Roman"/>
        </w:rPr>
        <w:t>Flimkien mal-Presidenza Portugiża tal-Kunsill, il-Kummissjoni u l-KtR se jeżaminaw modi kif il-KtR jista’ jattendi s-Summit Soċjali, sabiex tiġi riflessa d-dimensjoni territorjali tal-implimentazzjoni tal-Pilastru Ewropew tad-Drittijiet Soċjali.</w:t>
      </w:r>
    </w:p>
    <w:p w:rsidR="00151730" w:rsidRPr="007D6282" w:rsidRDefault="00151730" w:rsidP="007D6282">
      <w:pPr>
        <w:rPr>
          <w:lang w:val="en-GB"/>
        </w:rPr>
      </w:pPr>
    </w:p>
    <w:p w:rsidR="00EA2779" w:rsidRPr="007D6282" w:rsidRDefault="00EA2779" w:rsidP="007D6282">
      <w:pPr>
        <w:pStyle w:val="Heading2"/>
        <w:ind w:left="426" w:hanging="426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Tħejjija tal-Fond Soċjali Ewropew Plus (FSE+) u REACT-EU biex jipprovdu finanzjament adegwat għall-miżuri favur l-impjieg taż-żgħażagħ</w:t>
      </w:r>
    </w:p>
    <w:p w:rsidR="00527019" w:rsidRPr="007D6282" w:rsidRDefault="00527019">
      <w:pPr>
        <w:keepNext/>
        <w:rPr>
          <w:lang w:val="en-GB"/>
        </w:rPr>
      </w:pPr>
    </w:p>
    <w:p w:rsidR="00527019" w:rsidRPr="007D6282" w:rsidRDefault="00527019" w:rsidP="007D6282">
      <w:pPr>
        <w:rPr>
          <w:bCs/>
        </w:rPr>
      </w:pPr>
      <w:r>
        <w:t>Ħafna awtoritajiet lokali u reġjonali bħalissa huma involuti ħafna fit-tħejjija tal-programmi futuri tal-FSE+ u fl-iżvilupp ta’ proġetti li jibbenefikaw mill-finanzjament tal-FSE+. Permezz tal-FSE+, il-Kummissjoni pproponiet li jiżdied il-finanzjament għall-miżuri favur l-impjieg taż-żgħażagħ fl-Istati Membri fejn ir-rata ta’ żgħażagħ barra mill-impjieg, l-edukazzjoni jew taħriġ hija ogħla mill-medja tal-</w:t>
      </w:r>
      <w:r>
        <w:lastRenderedPageBreak/>
        <w:t>UE</w:t>
      </w:r>
      <w:r w:rsidR="006E25E8" w:rsidRPr="007D6282">
        <w:rPr>
          <w:rStyle w:val="FootnoteReference"/>
          <w:bCs/>
          <w:sz w:val="24"/>
          <w:szCs w:val="24"/>
          <w:lang w:val="en-GB"/>
        </w:rPr>
        <w:footnoteReference w:id="4"/>
      </w:r>
      <w:r>
        <w:t>. Barra minn hekk, ir-REACT-EU l-ġdid jista’ jappoġġja miżuri għall-impjieg taż-żgħażagħ. Il-ħtieġa li jiġu sfruttati bis-sħiħ il-benefiċċji ta’ dan l-appoġġ addizzjonali hija essenzjali, fid-dawl tal-pandemija attwali u l-impatt probabbli li dan jista’ jkollu fuq l-impjieg taż-żgħażagħ.</w:t>
      </w:r>
    </w:p>
    <w:p w:rsidR="00CB78E1" w:rsidRPr="007D6282" w:rsidRDefault="00CB78E1">
      <w:pPr>
        <w:rPr>
          <w:bCs/>
          <w:u w:val="single"/>
          <w:lang w:val="en-GB"/>
        </w:rPr>
      </w:pPr>
    </w:p>
    <w:p w:rsidR="00AE28C2" w:rsidRPr="007D6282" w:rsidRDefault="00F52BD7">
      <w:pPr>
        <w:rPr>
          <w:bCs/>
        </w:rPr>
      </w:pPr>
      <w:r>
        <w:t>Il-KtR jista’ jiffaċilita l-iskambju ta’ informazzjoni u l-aħjar prattiki f’dak li għandu x’jaqsam mal-finanzjament minn REACT-EU u l-FSE+ ipprovdut b’appoġġ għall-miżuri favur l-impjieg taż-żgħażagħ. Din l-għajnuna finanzjarja se tikkontribwixxi għall-mira ġenerali tal-UE li tiddedika mill-inqas EUR 22 biljun għal dan l-objettiv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5"/>
      </w:r>
      <w:r>
        <w:t xml:space="preserve"> u tkun l-element ta’ finanzjament tal-Garanzija għaż-Żgħażagħ imsaħħa</w:t>
      </w:r>
      <w:r w:rsidR="008911F1" w:rsidRPr="007D6282">
        <w:rPr>
          <w:rStyle w:val="FootnoteReference"/>
          <w:bCs/>
          <w:sz w:val="24"/>
          <w:szCs w:val="24"/>
          <w:lang w:val="en-GB"/>
        </w:rPr>
        <w:footnoteReference w:id="6"/>
      </w:r>
      <w:r>
        <w:t xml:space="preserve">. </w:t>
      </w:r>
    </w:p>
    <w:p w:rsidR="00AE28C2" w:rsidRPr="007D6282" w:rsidRDefault="00AE28C2">
      <w:pPr>
        <w:rPr>
          <w:bCs/>
          <w:u w:val="single"/>
          <w:lang w:val="en-GB"/>
        </w:rPr>
      </w:pPr>
    </w:p>
    <w:p w:rsidR="006106B7" w:rsidRPr="007D6282" w:rsidRDefault="002867F1">
      <w:pPr>
        <w:rPr>
          <w:bCs/>
        </w:rPr>
      </w:pPr>
      <w:r>
        <w:t xml:space="preserve">Fl-ispirtu tal-prinċipju tas-sħubija, il-KtR jista’ jippromovi d-djalogu bejn l-awtoritajiet lokali u reġjonali fl-iżvilupp ta’ kunċetti għall-ġlieda kontra l-qgħad fost iż-żgħażagħ f’kollaborazzjoni mill-qrib mal-imsieħba soċjali, u jsir pjattaforma ta’ skambju għal ideat u politiki bejn ir-reġjuni u l-bliet. </w:t>
      </w:r>
    </w:p>
    <w:p w:rsidR="006106B7" w:rsidRPr="007D6282" w:rsidRDefault="006106B7">
      <w:pPr>
        <w:rPr>
          <w:bCs/>
          <w:lang w:val="en-GB"/>
        </w:rPr>
      </w:pPr>
    </w:p>
    <w:p w:rsidR="00527019" w:rsidRPr="003814FB" w:rsidRDefault="006106B7">
      <w:r>
        <w:t>B’dan il-mod, il-KtR jista’ jipprovdi segwitu sinifikanti għall-Komunikazzjoni tal-Kummissjoni dwar L-Appoġġ għall-Impjieg taż-Żgħażagħ: Pont għall-Impjiegi għall-Ġenerazzjoni li Jmiss</w:t>
      </w:r>
      <w:r w:rsidR="00150CCB" w:rsidRPr="007D6282">
        <w:rPr>
          <w:rStyle w:val="FootnoteReference"/>
          <w:sz w:val="24"/>
          <w:szCs w:val="24"/>
          <w:lang w:val="en-GB"/>
        </w:rPr>
        <w:footnoteReference w:id="7"/>
      </w:r>
      <w:r>
        <w:t xml:space="preserve"> u jistgħu jsiru aktar laqgħat mad-DĠ EMPL u l-KtR. </w:t>
      </w:r>
    </w:p>
    <w:p w:rsidR="00F165DD" w:rsidRPr="007D6282" w:rsidRDefault="00F165DD">
      <w:pPr>
        <w:rPr>
          <w:bCs/>
          <w:lang w:val="en-GB"/>
        </w:rPr>
      </w:pPr>
    </w:p>
    <w:p w:rsidR="00CB78E1" w:rsidRPr="007D6282" w:rsidRDefault="00CB78E1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2.3.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 xml:space="preserve">L-aġenda għall-ħiliet </w:t>
      </w:r>
    </w:p>
    <w:p w:rsidR="006106B7" w:rsidRPr="007D6282" w:rsidRDefault="006106B7" w:rsidP="007D6282">
      <w:pPr>
        <w:keepNext/>
        <w:rPr>
          <w:rFonts w:eastAsiaTheme="majorEastAsia"/>
          <w:lang w:val="en-GB"/>
        </w:rPr>
      </w:pPr>
    </w:p>
    <w:p w:rsidR="006106B7" w:rsidRPr="007D6282" w:rsidRDefault="00EE2DE9" w:rsidP="007D6282">
      <w:r>
        <w:t>L-impatt tal-pandemija fuq il-mod kif naħdmu u fuq it-tranżizzjoni doppja lejn ekonomija diġitali u ekoloġika qed iċaqilqu bil-qawwa l-paradigma fuq il-ħiliet fl-UE. Għalhekk huwa essenzjali li l-perspettiva lokali dwar il-ħiliet tiġi promossa u marbuta kif spjegat fl-Aġenda reċenti għall-Ħiliet għall-Ewropa għall-kompetittività sostenibbli, il-ġustizzja soċjali u r-reżiljenza</w:t>
      </w:r>
      <w:r w:rsidR="002867F1" w:rsidRPr="007D6282">
        <w:rPr>
          <w:rStyle w:val="FootnoteReference"/>
          <w:bCs/>
          <w:sz w:val="24"/>
          <w:szCs w:val="24"/>
          <w:lang w:val="en-GB"/>
        </w:rPr>
        <w:footnoteReference w:id="8"/>
      </w:r>
      <w:r>
        <w:t>. Il-ħidma fil-livell lokali tista’ timmassimizza l-involviment tal-imsieħba lokali, bħall-SMEs, u fl-istess ħin jinftiehmu aħjar il-ħtiġijiet tas-suq tax-xogħol lokali u jiġu eżaminati s-sinerġiji ma’ strateġiji lokali u reġjonali oħrajn. Barra minn hekk, il-perspettiva lokali u reġjonali tista’ tgħin fil-ħolqien ta’ perspettivi kwalitattivi u previżjonijiet kwantitattivi tal-ħiliet li,min-naħa tagħhom, jistgħu jiżviluppaw f’mudell jew metodu ta’ antiċipazzjoni tal-ħiliet li jista’ jintuża għall-ippjanar jew il-formulazzjoni tal-politika fil-ġejjieni.</w:t>
      </w:r>
    </w:p>
    <w:p w:rsidR="006106B7" w:rsidRPr="007D6282" w:rsidRDefault="006106B7">
      <w:pPr>
        <w:rPr>
          <w:bCs/>
          <w:lang w:val="en-GB"/>
        </w:rPr>
      </w:pPr>
    </w:p>
    <w:p w:rsidR="00421A56" w:rsidRPr="007D6282" w:rsidRDefault="00150CCB" w:rsidP="007D6282">
      <w:pPr>
        <w:rPr>
          <w:bCs/>
        </w:rPr>
      </w:pPr>
      <w:r>
        <w:lastRenderedPageBreak/>
        <w:t>Aktar kooperazzjoni tista’ tinkiseb permezz tal-azzjonijiet li ġejjin: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0A7400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t>il-promozzjoni konġunta tal-Patt għall-Ħiliet, bħala mod kif ir-reġjuni jibnu sħubijiet mal-industrija u l-fornituri tat-taħriġ dwar it-titjib tal-ħiliet u t-taħriġ mill-ġdid tal-popolazzjoni lokali;</w:t>
      </w:r>
    </w:p>
    <w:p w:rsidR="000A7400" w:rsidRPr="007D6282" w:rsidRDefault="000A7400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421A56" w:rsidRPr="007D6282" w:rsidRDefault="000A740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Style w:val="normaltextrun"/>
        </w:rPr>
      </w:pPr>
      <w:r>
        <w:rPr>
          <w:rStyle w:val="normaltextrun"/>
        </w:rPr>
        <w:t>Konferenza ta’ Livell Għoli dwar l-apprendistati koorganizzata mad-DĠ EMPL bit-titolu Ir-rwol tar-reġjuni u l-bliet fil-ħolqien ta’ apprendistati ta’ kwalità għolja skedata għar-Rebbiegħa tal-2021 minħabba l-COVID-19 b’avvenimenti addizzjonali tal-pjan direzzjonali fuq l-internet li jwasslu għall-konferenza ewlenija:</w:t>
      </w:r>
    </w:p>
    <w:p w:rsidR="000A7400" w:rsidRPr="007D6282" w:rsidRDefault="000A7400">
      <w:pPr>
        <w:rPr>
          <w:rStyle w:val="normaltextrun"/>
          <w:lang w:val="en-GB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817"/>
        <w:gridCol w:w="2069"/>
      </w:tblGrid>
      <w:tr w:rsidR="005B7D5D"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Data</w:t>
            </w:r>
          </w:p>
        </w:tc>
        <w:tc>
          <w:tcPr>
            <w:tcW w:w="3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Webinars/Konferenza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B9B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Suġġett</w:t>
            </w:r>
          </w:p>
        </w:tc>
      </w:tr>
      <w:tr w:rsidR="005B7D5D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It-Tlieta 29 ta’ Settembru 2020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L-1 webinar online: </w:t>
            </w:r>
            <w:r>
              <w:rPr>
                <w:i/>
                <w:iCs/>
              </w:rPr>
              <w:t>L-impatt tal-COVID-19 fuq l-apprendistati. Ir-rwol tar-reġjuni u l-bliet.</w:t>
            </w:r>
            <w:r>
              <w:t xml:space="preserve">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Enfasi fuq ir-rispons għall-COVID-19</w:t>
            </w:r>
          </w:p>
        </w:tc>
      </w:tr>
      <w:tr w:rsidR="005B7D5D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Jannar/Frar 2021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It-2 webinar online: </w:t>
            </w:r>
            <w:r>
              <w:rPr>
                <w:i/>
                <w:iCs/>
              </w:rPr>
              <w:t>It-tranżizzjoni doppja: Ir-rwol tal-bliet fil-ħolqien ta’ apprendistati ta’ kwalità għolja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Enfasi fuq it-tranżizzjoni doppja ekoloġika u diġitali</w:t>
            </w:r>
          </w:p>
        </w:tc>
      </w:tr>
      <w:tr w:rsidR="005B7D5D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Marzu/April 2021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It-3 webinar online: </w:t>
            </w:r>
            <w:r>
              <w:rPr>
                <w:i/>
                <w:iCs/>
              </w:rPr>
              <w:t>It-tranżizzjoni doppja: Ir-rwol tar-reġjuni fil-ħolqien ta’ apprendistati ta’ kwalità għolja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Enfasi fuq it-tranżizzjoni doppja ekoloġika u diġitali </w:t>
            </w:r>
          </w:p>
        </w:tc>
      </w:tr>
      <w:tr w:rsidR="005B7D5D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3-4 ta’ Ġunju 2021 (għad trid tiġi kkonfermata)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 xml:space="preserve">Konferenza Ewlenija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għad irid jiġi kkonfermat</w:t>
            </w:r>
          </w:p>
        </w:tc>
      </w:tr>
      <w:tr w:rsidR="005B7D5D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għad irid jiġi kkonfermat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Laqgħat ta’ segwitu (online)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400" w:rsidRPr="007D6282" w:rsidRDefault="000A7400">
            <w:r>
              <w:t>għad irid jiġi kkonfermat</w:t>
            </w:r>
          </w:p>
        </w:tc>
      </w:tr>
    </w:tbl>
    <w:p w:rsidR="002D435E" w:rsidRPr="007D6282" w:rsidRDefault="002D435E" w:rsidP="007D6282">
      <w:pPr>
        <w:pStyle w:val="ListParagraph"/>
        <w:spacing w:after="0" w:line="288" w:lineRule="auto"/>
        <w:ind w:left="360"/>
        <w:jc w:val="both"/>
        <w:rPr>
          <w:rStyle w:val="normaltextrun"/>
        </w:rPr>
      </w:pPr>
    </w:p>
    <w:p w:rsidR="002D435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se tiġi żviluppata aktar kooperazzjoni bħala parti mit-tħejjijiet tal-Opinjoni dwar l-Aġenda Ewropea għall-Ħiliet għal kompetittività sostenibbli, ġustizzja soċjali u reżiljenza (relatur Csaba Borboly, RO/PPE); </w:t>
      </w:r>
    </w:p>
    <w:p w:rsidR="00F165DD" w:rsidRPr="007D6282" w:rsidRDefault="00F165DD" w:rsidP="007D6282">
      <w:pPr>
        <w:pStyle w:val="ListParagraph"/>
        <w:spacing w:after="0" w:line="288" w:lineRule="auto"/>
        <w:ind w:left="360"/>
        <w:jc w:val="both"/>
      </w:pPr>
    </w:p>
    <w:p w:rsidR="00176CAE" w:rsidRPr="007D6282" w:rsidRDefault="00151730" w:rsidP="007D6282">
      <w:pPr>
        <w:pStyle w:val="ListParagraph"/>
        <w:numPr>
          <w:ilvl w:val="0"/>
          <w:numId w:val="32"/>
        </w:numPr>
        <w:spacing w:after="0" w:line="288" w:lineRule="auto"/>
        <w:jc w:val="both"/>
        <w:rPr>
          <w:rFonts w:ascii="Times New Roman" w:hAnsi="Times New Roman" w:cs="Times New Roman"/>
        </w:rPr>
      </w:pPr>
      <w:r>
        <w:t>Kollaborazzjoni fuq l-Alleanza Ewropea għall-Apprendistati.</w:t>
      </w:r>
      <w:r>
        <w:rPr>
          <w:rFonts w:ascii="Times New Roman" w:hAnsi="Times New Roman"/>
        </w:rPr>
        <w:t xml:space="preserve"> Il-KtR u l-l-Alleanza Ewropea għall-Apprendistati jistgħu jkomplu jaħdmu fuq waħda mill-prijoritajiet tal-Alleanza imġedda “Il-mobilizzazzjoni tal-awtoritajiet lokali u reġjonali bħala xpruni għall-apprendistati fl-ambjent tan-negozju lokali”. Eżempju ta’ dan huwa l-parteċipazzjoni tan-Network tal-Bliet għall-Apprendistati l-ġdid fil-webinars konġunti bejn l-Alleanza Ewropea għall-Apprendistati u l-KtR. Wieħed mill-għanijiet primarji tan-network se jkun li jkun hemm sensibilizzazzjoni dwar il-potenzjal li l-bliet għandhom biex jappoġġjaw l-apprendistati. Fl-aħħar mill-aħħar, permezz tan-network, il-bliet se jkunu jistgħu jitgħallmu minn xulxin, jikkollaboraw, jiżviluppaw għodod, jikkondividu prattiki tajba u jipprovdu u jirċievu assistenza teknika u politika.   </w:t>
      </w:r>
    </w:p>
    <w:p w:rsidR="00C34231" w:rsidRPr="003814FB" w:rsidRDefault="00C34231">
      <w:pPr>
        <w:rPr>
          <w:rFonts w:eastAsiaTheme="majorEastAsia"/>
          <w:lang w:val="en-GB"/>
        </w:rPr>
      </w:pPr>
    </w:p>
    <w:p w:rsidR="003D64D4" w:rsidRPr="007D6282" w:rsidRDefault="00025C0A" w:rsidP="007D6282">
      <w:pPr>
        <w:pStyle w:val="Heading2"/>
        <w:ind w:left="567" w:hanging="567"/>
        <w:jc w:val="both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2.4.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Kunċett ta’ “Fieri Ewropej għal Impjiegi Lokali” appoġġjat mill-UE biex jappoġġja l-impjiegi lokali</w:t>
      </w:r>
    </w:p>
    <w:p w:rsidR="00CE5349" w:rsidRPr="007D6282" w:rsidRDefault="00CE5349">
      <w:pPr>
        <w:keepNext/>
        <w:rPr>
          <w:lang w:val="en-GB"/>
        </w:rPr>
      </w:pPr>
    </w:p>
    <w:p w:rsidR="00CC2877" w:rsidRPr="003814FB" w:rsidRDefault="00394636" w:rsidP="007D6282">
      <w:r>
        <w:t xml:space="preserve">Biex jittejjeb it-tlaqqigħ tal-impjiegi u l-ħiliet, intlaħaq qbil li jiġu eżaminati l-possibbiltajiet li jiġu koorganizzati “Fieri Ewropej għal Impjiegi Lokali” fl-Ewropa. Tessaloniki tista’ toffri li tospita “Fiera Ewropea għal Impjiegi Lokali” mill-iktar fis possibbli. Avveniment bħal dan jista’ jsir mudell għal avvenimenti simili f’reġjuni oħra tal-UE. Il-KtR u d-DĠ EMPL se jikkooperaw fuq il-kunċett u l-implimentazzjoni, inklużi l-istabbiliment, l-imsieħba, il-finanzjament, eċċ. li għandu jintlaħaq qbil dwarhom separatament. </w:t>
      </w:r>
    </w:p>
    <w:p w:rsidR="00FE1A83" w:rsidRPr="003814FB" w:rsidRDefault="00FE1A83" w:rsidP="007D6282">
      <w:pPr>
        <w:rPr>
          <w:lang w:val="en-GB"/>
        </w:rPr>
      </w:pPr>
    </w:p>
    <w:p w:rsidR="00DC5206" w:rsidRPr="007D6282" w:rsidRDefault="00455FAA" w:rsidP="007D6282">
      <w:pPr>
        <w:pStyle w:val="Heading3"/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2.4.1.</w:t>
      </w:r>
      <w:r>
        <w:rPr>
          <w:rFonts w:ascii="Times New Roman" w:hAnsi="Times New Roman"/>
          <w:b/>
          <w:sz w:val="24"/>
          <w:szCs w:val="24"/>
        </w:rPr>
        <w:tab/>
        <w:t>Dak li diġà jeżisti</w:t>
      </w:r>
    </w:p>
    <w:p w:rsidR="00CC2877" w:rsidRPr="003814FB" w:rsidRDefault="00CC2877">
      <w:pPr>
        <w:keepNext/>
        <w:rPr>
          <w:lang w:val="en-GB"/>
        </w:rPr>
      </w:pPr>
    </w:p>
    <w:p w:rsidR="00CC2877" w:rsidRPr="007D6282" w:rsidRDefault="00DF7306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In-network tas-Servizzi Ewropej tax-Xogħol (EURES) diġà jospita l-“Jiem Ewropej għall-Impjiegi” li jippromovu l-mobbiltà tal-forza tax-xogħol madwar l-UE, billi jitqabblu l-ħiliet tal-applikanti mal-ħtiġijiet tal-impjegaturi fi Stati Membri oħrajn (ir-repetizzjoni ta’ avvenimenti ta’ mobbilità bħal dawn ma ġġibx valur miżjud);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501E02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Diversi proġetti tal-UE għandhom l-għan li jiġġieldu l-qgħad; barra minn hekk, hemm ukoll programmi nazzjonali bl-istess għan;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2867F1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L-FSE huwa u l-FSE+ se jkun l-istrument ewlieni għall-finanzjament tal-istrateġiji lokali tal-impjiegi u għall-promozzjoni tat-taħriġ u t-titjib tal-ħiliet u t-taħriġ mill-ġdid.</w:t>
      </w:r>
    </w:p>
    <w:p w:rsidR="00CC2877" w:rsidRPr="007D6282" w:rsidRDefault="00CC2877" w:rsidP="007D6282">
      <w:pPr>
        <w:pStyle w:val="ListParagraph"/>
        <w:spacing w:after="0" w:line="288" w:lineRule="auto"/>
        <w:ind w:left="360"/>
        <w:jc w:val="both"/>
      </w:pPr>
    </w:p>
    <w:p w:rsidR="00CC2877" w:rsidRPr="007D6282" w:rsidRDefault="00DF7306">
      <w:pPr>
        <w:numPr>
          <w:ilvl w:val="0"/>
          <w:numId w:val="35"/>
        </w:numPr>
        <w:rPr>
          <w:rFonts w:eastAsia="Times New Roman"/>
          <w:sz w:val="24"/>
          <w:szCs w:val="24"/>
        </w:rPr>
      </w:pPr>
      <w:r>
        <w:t>Il-Programm għall-Impjiegi u l-Innovazzjoni Soċjali EaSI (2014-2020) għandu tliet assi (Progress għall-modernizzazzjoni tal-impjiegi u s-servizzi soċjali, EURES għall-mobbiltà tal-forza tax-xogħol u l-assi tal-Mikrofinanzjament u l-Intraprenditorija Soċjali li jipprovdi mikroself u mikrokreditu lil gruppi u intrapriżi vulnerabbli u jappoġġja l-intraprenditorija soċjali). InvestEU se jipprovdi opportunitajiet simili mill-2021 ’il quddiem.</w:t>
      </w:r>
    </w:p>
    <w:p w:rsidR="00FE1A83" w:rsidRPr="007D6282" w:rsidRDefault="00FE1A83" w:rsidP="007D6282">
      <w:pPr>
        <w:rPr>
          <w:lang w:val="en-GB"/>
        </w:rPr>
      </w:pPr>
    </w:p>
    <w:p w:rsidR="00CC2877" w:rsidRPr="007D6282" w:rsidRDefault="00455FAA" w:rsidP="007D6282">
      <w:pPr>
        <w:pStyle w:val="Heading3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2.4.2.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Il-valur miżjud tal-“Fieri Ewropej għal Impjiegi Lokali”</w:t>
      </w:r>
    </w:p>
    <w:p w:rsidR="00CC2877" w:rsidRPr="007D6282" w:rsidRDefault="00CC2877" w:rsidP="007D6282">
      <w:pPr>
        <w:keepNext/>
        <w:rPr>
          <w:lang w:val="en-GB"/>
        </w:rPr>
      </w:pPr>
    </w:p>
    <w:p w:rsidR="00CC2877" w:rsidRPr="007D6282" w:rsidRDefault="00CC2877" w:rsidP="007D6282">
      <w:pPr>
        <w:pStyle w:val="ListParagraph"/>
        <w:spacing w:after="0" w:line="288" w:lineRule="auto"/>
        <w:ind w:left="0"/>
        <w:jc w:val="both"/>
      </w:pPr>
      <w:r>
        <w:rPr>
          <w:rFonts w:ascii="Times New Roman" w:hAnsi="Times New Roman"/>
        </w:rPr>
        <w:t>Minħabba l-inizjattivi tal-UE u oħrajn li diġà jeżistu, il-valur miżjud speċifiku ta’ “Fiera Ewropea għal Impjiegi Lokali” għandu jkun li:</w:t>
      </w:r>
    </w:p>
    <w:p w:rsidR="00100433" w:rsidRPr="007D6282" w:rsidRDefault="00100433" w:rsidP="007D6282">
      <w:pPr>
        <w:pStyle w:val="ListParagraph"/>
        <w:spacing w:after="0" w:line="288" w:lineRule="auto"/>
        <w:ind w:left="0"/>
        <w:jc w:val="both"/>
      </w:pP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isservi ta’ vertrina għas-servizzi eżistenti tal-UE għall-persuni li qed ifittxu impjieg fil-livell lokali, nazzjonali u Ewropew;</w:t>
      </w:r>
    </w:p>
    <w:p w:rsidR="0002399B" w:rsidRPr="007D6282" w:rsidRDefault="0002399B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tippreżenta xejriet ġodda fil-ħiliet u l-impjiegi fil-livell lokali u Ewropew;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tippreżenta l-iskemi tal-UE għall-appoġġ tal-istrateġiji tal-impjiegi lokali u reġjonali fid-dawl tal-attivitajiet ta’ programmazzjoni li għaddejjin bħalissa tal-programmi futuri tal-FSE;</w:t>
      </w:r>
    </w:p>
    <w:p w:rsidR="00100433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 xml:space="preserve">turi r-rabtiet bejn il-politiki u l-programmi differenti tal-UE mill-perspettiva taż-żgħażagħ; </w:t>
      </w:r>
    </w:p>
    <w:p w:rsidR="00C97045" w:rsidRPr="007D6282" w:rsidRDefault="00100433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lastRenderedPageBreak/>
        <w:t>tipprovdi bażi għal djalogu maċ-ċittadini dwar id-dimensjoni soċjali tal-UE u xi tfisser għall-impjiegi lokali u reġjonali; u</w:t>
      </w:r>
    </w:p>
    <w:p w:rsidR="00100433" w:rsidRPr="007D6282" w:rsidRDefault="00C97045" w:rsidP="007D6282">
      <w:pPr>
        <w:pStyle w:val="ListParagraph"/>
        <w:numPr>
          <w:ilvl w:val="0"/>
          <w:numId w:val="35"/>
        </w:numPr>
        <w:spacing w:after="0" w:line="288" w:lineRule="auto"/>
        <w:jc w:val="both"/>
      </w:pPr>
      <w:r>
        <w:rPr>
          <w:rFonts w:ascii="Times New Roman" w:hAnsi="Times New Roman"/>
        </w:rPr>
        <w:t>tappoġġja t-tlaqqigħ tal-impjiegi u l-ħiliet lokalment b’appoġġ mill-finanzjament tal-UE għal avvenimenti lokali bħal dawn.</w:t>
      </w:r>
    </w:p>
    <w:p w:rsidR="00FE1A83" w:rsidRPr="003814FB" w:rsidRDefault="00FE1A83">
      <w:pPr>
        <w:rPr>
          <w:lang w:val="en-GB"/>
        </w:rPr>
      </w:pPr>
    </w:p>
    <w:p w:rsidR="00F165DD" w:rsidRPr="003814FB" w:rsidRDefault="001A2D75">
      <w:r>
        <w:t>F’dan il-perjodu, huwa importanti li jiġu organizzati fieri bħal dawn bħala parti mill-isforzi ta’ rkupru mill-pandemija tal-COVID-19. Għalhekk huwa essenzjali li jinbeda djalogu ta’ politika mar-rappreżentanti ewlenin tal-imsieħba soċjali, li jospita membri tal-KtR u rappreżentanti tal-UE dwar kunċetti u strateġiji biex jiġu indirizzati l-isfidi attwali tal-impjieg.</w:t>
      </w:r>
    </w:p>
    <w:p w:rsidR="00FE1A83" w:rsidRPr="003814FB" w:rsidRDefault="00FE1A83">
      <w:pPr>
        <w:rPr>
          <w:lang w:val="en-GB"/>
        </w:rPr>
      </w:pPr>
    </w:p>
    <w:p w:rsidR="00100433" w:rsidRPr="007D6282" w:rsidRDefault="00455FAA" w:rsidP="007D6282">
      <w:pPr>
        <w:pStyle w:val="Heading3"/>
        <w:ind w:left="709" w:hanging="709"/>
        <w:rPr>
          <w:rFonts w:asciiTheme="majorHAnsi" w:eastAsiaTheme="majorEastAsia" w:hAnsiTheme="majorHAnsi" w:cstheme="majorBidi"/>
          <w:b/>
          <w:color w:val="365F91" w:themeColor="accent1" w:themeShade="BF"/>
          <w:sz w:val="24"/>
          <w:szCs w:val="32"/>
        </w:rPr>
      </w:pPr>
      <w:r>
        <w:rPr>
          <w:rFonts w:ascii="Times New Roman" w:hAnsi="Times New Roman"/>
          <w:b/>
          <w:sz w:val="24"/>
          <w:szCs w:val="24"/>
        </w:rPr>
        <w:t>2.4.3.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32"/>
        </w:rPr>
        <w:t>Grupp fil-mira għall-“Fieri Ewropej għal Impjiegi Lokali”</w:t>
      </w:r>
    </w:p>
    <w:p w:rsidR="0002399B" w:rsidRPr="007D6282" w:rsidRDefault="0002399B">
      <w:pPr>
        <w:keepNext/>
        <w:rPr>
          <w:lang w:val="en-GB"/>
        </w:rPr>
      </w:pPr>
    </w:p>
    <w:p w:rsidR="0002399B" w:rsidRPr="007D6282" w:rsidRDefault="0002399B" w:rsidP="007D6282">
      <w:r>
        <w:t>Il-grupp fil-mira għal “Fieri Ewropej għal Impjiegi Lokali” jista’ jinkludi: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persuni li qed ifittxu impjieg, b’mod partikolari studenti u gradwati reċenti,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servizzi pubbliċi tal-impjiegi lokali/reġjonali,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aġenziji ta’ taħriġ, taħriġ mill-ġdid u tal-impjiegi,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imsieħba soċjali, faċilitajiet edukattivi,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awtoritajiet lokali/reġjonali u politiċi u</w:t>
      </w:r>
    </w:p>
    <w:p w:rsidR="0002399B" w:rsidRPr="007D6282" w:rsidRDefault="0002399B" w:rsidP="007D6282">
      <w:pPr>
        <w:pStyle w:val="ListParagraph"/>
        <w:numPr>
          <w:ilvl w:val="0"/>
          <w:numId w:val="33"/>
        </w:numPr>
        <w:spacing w:after="0" w:line="288" w:lineRule="auto"/>
        <w:ind w:left="360"/>
      </w:pPr>
      <w:r>
        <w:rPr>
          <w:rFonts w:ascii="Times New Roman" w:hAnsi="Times New Roman"/>
        </w:rPr>
        <w:t>midja lokali/reġjonali.</w:t>
      </w:r>
    </w:p>
    <w:p w:rsidR="00FE1A83" w:rsidRPr="007D6282" w:rsidRDefault="00FE1A83" w:rsidP="007D6282">
      <w:pPr>
        <w:rPr>
          <w:lang w:val="en-GB"/>
        </w:rPr>
      </w:pPr>
    </w:p>
    <w:p w:rsidR="0002399B" w:rsidRPr="007D6282" w:rsidRDefault="00455FAA" w:rsidP="007D6282">
      <w:pPr>
        <w:pStyle w:val="Heading3"/>
        <w:tabs>
          <w:tab w:val="left" w:pos="567"/>
        </w:tabs>
        <w:rPr>
          <w:rFonts w:asciiTheme="majorHAnsi" w:hAnsiTheme="majorHAnsi"/>
          <w:color w:val="365F91" w:themeColor="accent1" w:themeShade="BF"/>
        </w:rPr>
      </w:pPr>
      <w:r>
        <w:rPr>
          <w:rFonts w:ascii="Times New Roman" w:hAnsi="Times New Roman"/>
          <w:b/>
          <w:sz w:val="24"/>
          <w:szCs w:val="24"/>
        </w:rPr>
        <w:t>2.4.4.</w:t>
      </w:r>
      <w:r>
        <w:rPr>
          <w:rFonts w:ascii="Times New Roman" w:hAnsi="Times New Roman"/>
          <w:b/>
          <w:sz w:val="24"/>
          <w:szCs w:val="24"/>
        </w:rPr>
        <w:tab/>
        <w:t>Imsieħba possibbli u implimentazzjoni</w:t>
      </w:r>
    </w:p>
    <w:p w:rsidR="0002399B" w:rsidRPr="007D6282" w:rsidRDefault="0002399B" w:rsidP="007D6282">
      <w:pPr>
        <w:keepNext/>
        <w:rPr>
          <w:lang w:val="en-GB"/>
        </w:rPr>
      </w:pPr>
    </w:p>
    <w:p w:rsidR="0002399B" w:rsidRPr="007D6282" w:rsidRDefault="00E0617C">
      <w:r>
        <w:t>“Fiera Ewropea għal Impjiegi Lokali” għandha tirnexxi l-aktar meta l-imsieħba t-tajba jkunu involuti mill-bidu biex jiġi żgurat kontribut sinifikanti. L-imsieħba li ġejjin jistgħu jkunu involuti:</w:t>
      </w:r>
    </w:p>
    <w:p w:rsidR="0002399B" w:rsidRPr="007D6282" w:rsidRDefault="0002399B">
      <w:pPr>
        <w:rPr>
          <w:lang w:val="en-GB"/>
        </w:rPr>
      </w:pP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Fil-livell lokali</w:t>
      </w:r>
      <w:r>
        <w:rPr>
          <w:rFonts w:ascii="Times New Roman" w:hAnsi="Times New Roman"/>
        </w:rPr>
        <w:t>: awtoritajiet pubbliċi, kmamar tal-kummerċ u assoċjazzjonijiet tan-negozju, trade unions, is-soċjetà ċivika, skejjel, universitajiet, eċċ.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Fil-livell reġjonali</w:t>
      </w:r>
      <w:r>
        <w:rPr>
          <w:rFonts w:ascii="Times New Roman" w:hAnsi="Times New Roman"/>
        </w:rPr>
        <w:t>: l-awtorità ġestjonali tal-FSE, servizzi tal-impjieg, ministeri reġjonali, assoċjazzjonijiet reġjonali tan-negozju, universitajiet, eċċ.</w:t>
      </w:r>
    </w:p>
    <w:p w:rsidR="0002399B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Fil-livell nazzjonali</w:t>
      </w:r>
      <w:r>
        <w:rPr>
          <w:rFonts w:ascii="Times New Roman" w:hAnsi="Times New Roman"/>
        </w:rPr>
        <w:t>: ministeri nazzjonali, assoċjazzjonijiet tas-settur soċjali, assoċjazzjonijiet tan-negozju, assoċjazzjonijiet tat-taħriġ, assoċjazzjonijiet tal-universitajiet, eċċ.</w:t>
      </w:r>
    </w:p>
    <w:p w:rsidR="00256F0C" w:rsidRPr="007D6282" w:rsidRDefault="00E0617C" w:rsidP="007D6282">
      <w:pPr>
        <w:pStyle w:val="ListParagraph"/>
        <w:numPr>
          <w:ilvl w:val="0"/>
          <w:numId w:val="40"/>
        </w:numPr>
        <w:spacing w:after="0" w:line="288" w:lineRule="auto"/>
        <w:jc w:val="both"/>
      </w:pPr>
      <w:r>
        <w:rPr>
          <w:rFonts w:ascii="Times New Roman" w:hAnsi="Times New Roman"/>
          <w:u w:val="single"/>
        </w:rPr>
        <w:t>Fil-livell tal-UE</w:t>
      </w:r>
      <w:r>
        <w:rPr>
          <w:rFonts w:ascii="Times New Roman" w:hAnsi="Times New Roman"/>
        </w:rPr>
        <w:t>: Kummissjoni Ewropea (immexxija mid-DĠ EMPL; DĠ u servizzi oħrajn li jistgħu jiġu mistiedna: DĠ EAC, DĠ REGIO, DĠ REFORM, JRC); aġenziji tal-UE (ELA, CEDEFOP, EUROFOUND); membri tal-KtR; MEPs; imsieħba soċjali.</w:t>
      </w:r>
    </w:p>
    <w:p w:rsidR="00FE1A83" w:rsidRPr="003814FB" w:rsidRDefault="00FE1A83">
      <w:pPr>
        <w:rPr>
          <w:lang w:val="en-GB"/>
        </w:rPr>
      </w:pPr>
    </w:p>
    <w:p w:rsidR="00834904" w:rsidRPr="003814FB" w:rsidRDefault="00834904">
      <w:r>
        <w:t xml:space="preserve">Peress li l-pandemija attwali tal-COVID-19 tagħmel l-organizzazzjoni ta’ fieri fuq il-post impossibbli għalissa, tista’ tiġi kkunsidrata l-organizzazzjoni ta’ avvenimenti bħal </w:t>
      </w:r>
      <w:hyperlink r:id="rId14" w:history="1">
        <w:r>
          <w:t>Jiem Ewropej Online tal-Impjiegi</w:t>
        </w:r>
      </w:hyperlink>
      <w:r>
        <w:t>, bi qbil mal-uffiċċju nazzjonali ta’ koordinazzjoni tal-EURES u bl-involviment tiegħu.</w:t>
      </w:r>
    </w:p>
    <w:p w:rsidR="003E0FE7" w:rsidRPr="003814FB" w:rsidRDefault="003E0FE7">
      <w:pPr>
        <w:rPr>
          <w:lang w:val="en-GB"/>
        </w:rPr>
      </w:pPr>
    </w:p>
    <w:p w:rsidR="00E6624D" w:rsidRPr="003814FB" w:rsidRDefault="00E6624D">
      <w:r>
        <w:t>Ir-rwoli u r-responsabbiltajiet tal-organizzaturi u l-imsieħba se jiġu definiti fi ftehimiet separati.</w:t>
      </w:r>
    </w:p>
    <w:p w:rsidR="00F165DD" w:rsidRPr="007D6282" w:rsidRDefault="00F165DD">
      <w:pPr>
        <w:rPr>
          <w:sz w:val="24"/>
          <w:lang w:val="en-GB"/>
        </w:rPr>
      </w:pPr>
    </w:p>
    <w:p w:rsidR="001A2D75" w:rsidRPr="007D6282" w:rsidRDefault="001A2D75" w:rsidP="007D6282">
      <w:pPr>
        <w:pStyle w:val="ListParagraph"/>
        <w:keepNext/>
        <w:numPr>
          <w:ilvl w:val="2"/>
          <w:numId w:val="22"/>
        </w:numPr>
        <w:spacing w:after="0" w:line="288" w:lineRule="auto"/>
        <w:rPr>
          <w:b/>
          <w:sz w:val="24"/>
        </w:rPr>
      </w:pPr>
      <w:r>
        <w:rPr>
          <w:rFonts w:ascii="Times New Roman" w:hAnsi="Times New Roman"/>
          <w:b/>
          <w:sz w:val="24"/>
        </w:rPr>
        <w:t>Finanzjament u appoġġ ieħor</w:t>
      </w:r>
    </w:p>
    <w:p w:rsidR="001A2D75" w:rsidRPr="003814FB" w:rsidRDefault="001A2D75" w:rsidP="007D6282">
      <w:pPr>
        <w:keepNext/>
        <w:rPr>
          <w:lang w:val="en-GB"/>
        </w:rPr>
      </w:pPr>
    </w:p>
    <w:p w:rsidR="006C7232" w:rsidRPr="007D6282" w:rsidRDefault="001A2D75">
      <w:r>
        <w:t>Il-“Fieri Ewropej għal Impjiegi Lokali” ospitati mill-membri tal-KtR jistgħu jiġu appoġġjati mill-fondi tal-UE. Il-Kumitat tar-Reġjuni u d-DĠ EMPL se jeżaminaw b’mod konġunt l-għażliet adatti għal appoġġ finanzjarju għal dawn l-avvenimenti.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8D4711">
      <w:r>
        <w:t>Appoġġ ieħor jista’ jinkludi:</w:t>
      </w:r>
    </w:p>
    <w:p w:rsidR="001A2D75" w:rsidRPr="007D6282" w:rsidRDefault="001A2D75">
      <w:pPr>
        <w:rPr>
          <w:lang w:val="en-GB"/>
        </w:rPr>
      </w:pP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L-impenn tal-imsieħba tal-UE biex jipparteċipaw b’mod attiv fil-fieri (jibagħtu esperti u delegati);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L-impenn tal-imsieħba tal-UE biex iħejju materjal ta’ informazzjoni adegwat għall-avveniment;</w:t>
      </w:r>
    </w:p>
    <w:p w:rsidR="001A2D75" w:rsidRPr="007D6282" w:rsidRDefault="001A2D75" w:rsidP="007D6282">
      <w:pPr>
        <w:pStyle w:val="ListParagraph"/>
        <w:numPr>
          <w:ilvl w:val="0"/>
          <w:numId w:val="41"/>
        </w:numPr>
        <w:spacing w:after="0" w:line="288" w:lineRule="auto"/>
        <w:jc w:val="both"/>
      </w:pPr>
      <w:r>
        <w:rPr>
          <w:rFonts w:ascii="Times New Roman" w:hAnsi="Times New Roman"/>
        </w:rPr>
        <w:t>L-impenn, kull meta jkun fattibbli, ta’ rappreżentanza ta’ livell għoli: tal-Kummissarju jew maniġer ta’ grad għoli tad-DĠ EMPL fil-fiera.</w:t>
      </w:r>
    </w:p>
    <w:p w:rsidR="007A1EBE" w:rsidRPr="007D6282" w:rsidRDefault="007A1EBE" w:rsidP="007D6282">
      <w:pPr>
        <w:rPr>
          <w:lang w:val="en-GB"/>
        </w:rPr>
      </w:pPr>
    </w:p>
    <w:p w:rsidR="00E01D16" w:rsidRPr="007D6282" w:rsidRDefault="008C4469" w:rsidP="007D6282">
      <w:pPr>
        <w:pStyle w:val="Heading1"/>
        <w:spacing w:before="0"/>
        <w:ind w:left="567" w:hanging="567"/>
        <w:rPr>
          <w:b/>
          <w:sz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3. </w:t>
      </w:r>
      <w:r>
        <w:rPr>
          <w:rFonts w:ascii="Times New Roman" w:hAnsi="Times New Roman"/>
          <w:b/>
          <w:color w:val="auto"/>
          <w:sz w:val="24"/>
          <w:szCs w:val="24"/>
        </w:rPr>
        <w:tab/>
      </w:r>
      <w:r>
        <w:rPr>
          <w:rFonts w:ascii="Times New Roman" w:hAnsi="Times New Roman"/>
          <w:b/>
          <w:color w:val="auto"/>
          <w:sz w:val="24"/>
        </w:rPr>
        <w:t>Oqsma oħra ta’ politika u possibbiltajiet ta’ kooperazzjoni</w:t>
      </w:r>
    </w:p>
    <w:p w:rsidR="00E01D16" w:rsidRPr="007D6282" w:rsidRDefault="00E01D16">
      <w:pPr>
        <w:rPr>
          <w:rFonts w:eastAsiaTheme="majorEastAsia"/>
          <w:lang w:val="en-GB"/>
        </w:rPr>
      </w:pPr>
    </w:p>
    <w:p w:rsidR="00E01D16" w:rsidRPr="007D6282" w:rsidRDefault="00E01D16" w:rsidP="007D6282">
      <w:pPr>
        <w:spacing w:after="0"/>
        <w:rPr>
          <w:bCs/>
        </w:rPr>
      </w:pPr>
      <w:r>
        <w:t xml:space="preserve">Bħalissa hemm diversi inizjattivi oħrajn fuq l-aġenda tad-DĠ EMPL, pereżempju: </w:t>
      </w:r>
    </w:p>
    <w:p w:rsidR="007A1EBE" w:rsidRPr="007D6282" w:rsidRDefault="007A1EBE" w:rsidP="007D6282">
      <w:pPr>
        <w:spacing w:after="0"/>
        <w:rPr>
          <w:bCs/>
          <w:lang w:val="en-GB"/>
        </w:rPr>
      </w:pPr>
    </w:p>
    <w:p w:rsidR="00457987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il-Pjan ta’ Azzjoni għall-Ekonomija Soċjali, mistenni fl-2021. Il-kooperazzjoni tista’ tesplora attivitajiet fl-oqsma tal-inklużjoni soċjali, il-ħolqien tal-impjiegi, is-settur tal-kura (l-indukrar bikri tat-tfal u l-kura għall-anzjani), servizzi soċjali oħrajn kif ukoll l-innovazzjoni soċjali fl-ekonomija soċjali fil-livell reġjonali u interreġjonali;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pagi minimi adegwati fl-Unjoni Ewropea, li għalihom il-Kummissjoni pproponiet Direttiva fit-28 ta’ Ottubru 2020;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il-kundizzjonijiet tax-xogħol tal-ħaddiema staġjonali li għalihom il-Kummissjoni ħarġet linji gwida fl-2020;</w:t>
      </w:r>
    </w:p>
    <w:p w:rsidR="00E01D16" w:rsidRPr="007D6282" w:rsidRDefault="007A1EBE" w:rsidP="007D6282">
      <w:pPr>
        <w:pStyle w:val="ListParagraph"/>
        <w:numPr>
          <w:ilvl w:val="0"/>
          <w:numId w:val="33"/>
        </w:numPr>
        <w:spacing w:after="0" w:line="288" w:lineRule="auto"/>
        <w:ind w:left="360"/>
        <w:jc w:val="both"/>
      </w:pPr>
      <w:r>
        <w:rPr>
          <w:rFonts w:ascii="Times New Roman" w:hAnsi="Times New Roman"/>
        </w:rPr>
        <w:t>aspetti tat-tibdil demografiku li huma fil-kompetenza tad-DĠ EMPL.</w:t>
      </w:r>
    </w:p>
    <w:p w:rsidR="007A1EBE" w:rsidRPr="007D6282" w:rsidRDefault="007A1EBE">
      <w:pPr>
        <w:rPr>
          <w:lang w:val="en-GB"/>
        </w:rPr>
      </w:pPr>
    </w:p>
    <w:p w:rsidR="00E01D16" w:rsidRPr="007D6282" w:rsidRDefault="00E01D16">
      <w:r>
        <w:t>Il-KtR ser ikollu l-għan li jintensifika l-konsultazzjoni tal-awtoritajiet lokali u reġjonali biex jikkontribwixxi għal dawn l-oqsma ta’ ħidma ewlenin. Barra minn hekk, il-KtR u DĠ EMPL se jimmiraw li jintensifikaw l-iskambji dwar dawn is-suġġetti.</w:t>
      </w:r>
    </w:p>
    <w:p w:rsidR="00E01D16" w:rsidRPr="007D6282" w:rsidRDefault="00E01D16">
      <w:pPr>
        <w:rPr>
          <w:lang w:val="en-GB"/>
        </w:rPr>
      </w:pPr>
    </w:p>
    <w:p w:rsidR="003E36A3" w:rsidRPr="007D6282" w:rsidRDefault="003E36A3">
      <w:r>
        <w:t>Biex titwettaq kooperazzjoni msaħħa bejn il-KtR u DĠ EMPL, jistgħu jiġu previsti l-miżuri addizzjonali li ġejjin:</w:t>
      </w:r>
    </w:p>
    <w:p w:rsidR="005B2DC3" w:rsidRPr="007D6282" w:rsidRDefault="005B2DC3">
      <w:pPr>
        <w:rPr>
          <w:lang w:val="en-GB"/>
        </w:rPr>
      </w:pP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djalogu politiku regolari – fil-plenarji tal-KtR u fil-laqgħat tal-Kummissjoni SEDEC;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lastRenderedPageBreak/>
        <w:t>tiġi kkunsidrata l-parteċipazzjoni tal-membri u r-relaturi tal-KtR f’konferenzi u avvenimenti organizzati mid-DĠ EMPL fejn il-perspettiva lokali u reġjonali ġġib valur miżjud;</w:t>
      </w:r>
    </w:p>
    <w:p w:rsidR="003E36A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fuq talba, il-membri tal-KtR jiġu infurmati dwar il-finanzjament disponibbli tal-UE u l-appoġġ għall-politika biex jintwera kif l-UE tista’ tgħin lir-reġjuni u l-bliet fit-tranżizzjonijiet ekoloġiċi u diġitali;</w:t>
      </w:r>
    </w:p>
    <w:p w:rsidR="002E7C63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l-esplorazzjoni ta’ miżuri ta’ komunikazzjoni konġunti, fejn meħtieġ;</w:t>
      </w:r>
    </w:p>
    <w:p w:rsidR="006D7CA9" w:rsidRPr="007D6282" w:rsidRDefault="007A1EBE" w:rsidP="007D6282">
      <w:pPr>
        <w:pStyle w:val="ListParagraph"/>
        <w:numPr>
          <w:ilvl w:val="0"/>
          <w:numId w:val="17"/>
        </w:numPr>
        <w:spacing w:after="0" w:line="288" w:lineRule="auto"/>
        <w:ind w:left="357" w:hanging="357"/>
        <w:jc w:val="both"/>
      </w:pPr>
      <w:r>
        <w:rPr>
          <w:rFonts w:ascii="Times New Roman" w:hAnsi="Times New Roman"/>
        </w:rPr>
        <w:t>jiġu esplorati sinerġiji ma’ inizjattivi ta’ DĠ oħrajn, bħas-sħubija tal-Pjattaforma Tematika tal-S3  għall-Modernizzazzjoni Industrijali dwar l-Ekonomija Soċjali (</w:t>
      </w:r>
      <w:hyperlink r:id="rId15" w:history="1">
        <w:r>
          <w:rPr>
            <w:rStyle w:val="Hyperlink"/>
            <w:rFonts w:ascii="Times New Roman" w:hAnsi="Times New Roman"/>
          </w:rPr>
          <w:t>https://s3platform.jrc.ec.europa.eu/social-economy</w:t>
        </w:r>
      </w:hyperlink>
      <w:r>
        <w:rPr>
          <w:rFonts w:ascii="Times New Roman" w:hAnsi="Times New Roman"/>
        </w:rPr>
        <w:t>).</w:t>
      </w:r>
    </w:p>
    <w:p w:rsidR="006D7CA9" w:rsidRPr="007D6282" w:rsidRDefault="006D7CA9">
      <w:pPr>
        <w:rPr>
          <w:lang w:val="en-GB"/>
        </w:rPr>
      </w:pPr>
    </w:p>
    <w:p w:rsidR="006D7CA9" w:rsidRPr="007D6282" w:rsidRDefault="0068468C" w:rsidP="007D6282">
      <w:pPr>
        <w:pStyle w:val="Heading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ab/>
        <w:t>Il-passi li jmiss:</w:t>
      </w:r>
    </w:p>
    <w:p w:rsidR="006D7CA9" w:rsidRPr="007D6282" w:rsidRDefault="006D7CA9" w:rsidP="007D6282">
      <w:pPr>
        <w:keepNext/>
        <w:rPr>
          <w:lang w:val="en-GB"/>
        </w:rPr>
      </w:pPr>
    </w:p>
    <w:p w:rsidR="000F448C" w:rsidRPr="003814FB" w:rsidRDefault="00DC0DF4" w:rsidP="007D6282">
      <w:pPr>
        <w:jc w:val="both"/>
      </w:pPr>
      <w:r>
        <w:t>Kemm DĠ EMPL kif ukoll il-KtR se jistabbilixxu persuni ta’ kuntatt biex jiddefinixxu d-dettalji tal-kunċett u tal-arranġamenti għat-twettiq ta’ “Fieri Ewropej għal Impjiegi Lokali” u biex jiżguraw kooperazzjoni u koordinazzjoni bla xkiel tal-azzjonijiet fil-livell a</w:t>
      </w:r>
      <w:bookmarkStart w:id="0" w:name="_GoBack"/>
      <w:bookmarkEnd w:id="0"/>
      <w:r>
        <w:t>mministrattiv.</w:t>
      </w:r>
    </w:p>
    <w:sectPr w:rsidR="000F448C" w:rsidRPr="003814FB" w:rsidSect="003831AE">
      <w:footerReference w:type="default" r:id="rId16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C63B" w16cex:dateUtc="2020-08-20T07:51:00Z"/>
  <w16cex:commentExtensible w16cex:durableId="22E8C6C8" w16cex:dateUtc="2020-08-20T07:54:00Z"/>
  <w16cex:commentExtensible w16cex:durableId="22E8C78A" w16cex:dateUtc="2020-08-20T07:57:00Z"/>
  <w16cex:commentExtensible w16cex:durableId="22E8CDF2" w16cex:dateUtc="2020-08-20T08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6440FE8" w16cid:durableId="22E8C63B"/>
  <w16cid:commentId w16cid:paraId="7CC3FC94" w16cid:durableId="22E8C6C8"/>
  <w16cid:commentId w16cid:paraId="1E5534BC" w16cid:durableId="22ED245B"/>
  <w16cid:commentId w16cid:paraId="1847A8FA" w16cid:durableId="22E8C78A"/>
  <w16cid:commentId w16cid:paraId="69CE8917" w16cid:durableId="22E771BD"/>
  <w16cid:commentId w16cid:paraId="29D3282F" w16cid:durableId="22E8CD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84" w:rsidRDefault="00683784" w:rsidP="007E71D2">
      <w:pPr>
        <w:spacing w:line="240" w:lineRule="auto"/>
      </w:pPr>
      <w:r>
        <w:separator/>
      </w:r>
    </w:p>
  </w:endnote>
  <w:endnote w:type="continuationSeparator" w:id="0">
    <w:p w:rsidR="00683784" w:rsidRDefault="00683784" w:rsidP="007E71D2">
      <w:pPr>
        <w:spacing w:line="240" w:lineRule="auto"/>
      </w:pPr>
      <w:r>
        <w:continuationSeparator/>
      </w:r>
    </w:p>
  </w:endnote>
  <w:endnote w:type="continuationNotice" w:id="1">
    <w:p w:rsidR="00683784" w:rsidRDefault="006837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0223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2F01" w:rsidRDefault="00EB2F01" w:rsidP="007D62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28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84" w:rsidRDefault="00683784" w:rsidP="007E71D2">
      <w:pPr>
        <w:spacing w:line="240" w:lineRule="auto"/>
      </w:pPr>
      <w:r>
        <w:separator/>
      </w:r>
    </w:p>
  </w:footnote>
  <w:footnote w:type="continuationSeparator" w:id="0">
    <w:p w:rsidR="00683784" w:rsidRDefault="00683784" w:rsidP="007E71D2">
      <w:pPr>
        <w:spacing w:line="240" w:lineRule="auto"/>
      </w:pPr>
      <w:r>
        <w:continuationSeparator/>
      </w:r>
    </w:p>
  </w:footnote>
  <w:footnote w:type="continuationNotice" w:id="1">
    <w:p w:rsidR="00683784" w:rsidRDefault="00683784">
      <w:pPr>
        <w:spacing w:line="240" w:lineRule="auto"/>
      </w:pPr>
    </w:p>
  </w:footnote>
  <w:footnote w:id="2">
    <w:p w:rsidR="00EB2F01" w:rsidRPr="007D6282" w:rsidRDefault="00EB2F01" w:rsidP="00C82EBC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1" w:history="1">
        <w:r>
          <w:rPr>
            <w:rStyle w:val="Hyperlink"/>
            <w:sz w:val="16"/>
            <w:szCs w:val="16"/>
          </w:rPr>
          <w:t>https://ec.europa.eu/commission/sites/beta-political/files/reflection-paper-social-dimension-europe_mt.pdf</w:t>
        </w:r>
      </w:hyperlink>
    </w:p>
  </w:footnote>
  <w:footnote w:id="3">
    <w:p w:rsidR="00EB2F01" w:rsidRPr="007D6282" w:rsidRDefault="00EB2F01" w:rsidP="007D6282">
      <w:pPr>
        <w:pStyle w:val="FootnoteText"/>
        <w:tabs>
          <w:tab w:val="left" w:pos="567"/>
        </w:tabs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hyperlink r:id="rId2" w:history="1">
        <w:r>
          <w:rPr>
            <w:rStyle w:val="Hyperlink"/>
            <w:sz w:val="16"/>
            <w:szCs w:val="16"/>
          </w:rPr>
          <w:t>https://eur-lex.europa.eu/LexUriServ/LexUriServ.do?uri=OJ:C:2012:102:0006:0010:MT:PDF</w:t>
        </w:r>
      </w:hyperlink>
    </w:p>
  </w:footnote>
  <w:footnote w:id="4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COM(2020) 447 final.</w:t>
      </w:r>
    </w:p>
  </w:footnote>
  <w:footnote w:id="5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rStyle w:val="FootnoteReference"/>
          <w:sz w:val="24"/>
          <w:szCs w:val="24"/>
        </w:rPr>
        <w:t xml:space="preserve"> </w:t>
      </w:r>
      <w:r>
        <w:rPr>
          <w:sz w:val="16"/>
          <w:szCs w:val="16"/>
        </w:rPr>
        <w:tab/>
        <w:t>Fil-Komunikazzjoni dwar “L-Appoġġ għall-Impjieg taż-Żgħażagħ: Pont għall-Impjiegi għall-Ġenerazzjoni li Jmiss” (COM(2020) 276 final), il-Kummissjoni ħeġġet lill-Istati Membri biex iżidu l-appoġġ għall-impjieg taż-żgħażagħ u jżidu l-livell iddedikat għal dan l-objettiv meta mqabbel mal-perjodu ta’ finanzjament 2014-2020, li huwa stmat għal EUR 22 biljun.</w:t>
      </w:r>
    </w:p>
  </w:footnote>
  <w:footnote w:id="6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Intlaħaq ftehim politu mill-Kunsill dwar ir-Rakkomandazzjoni tal-Kunsill dwar Pont għall-Impjiegi – Tissaħħaħ il-Garanzija għaż-Żgħażagħ u ser tiġi adottata qabel tmiem l-2020.</w:t>
      </w:r>
    </w:p>
  </w:footnote>
  <w:footnote w:id="7">
    <w:p w:rsidR="00EB2F01" w:rsidRPr="007D6282" w:rsidRDefault="00EB2F01" w:rsidP="007D6282">
      <w:pPr>
        <w:pStyle w:val="FootnoteText"/>
        <w:tabs>
          <w:tab w:val="left" w:pos="567"/>
        </w:tabs>
        <w:ind w:left="567" w:hanging="567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COM(2020) 276 final. </w:t>
      </w:r>
    </w:p>
  </w:footnote>
  <w:footnote w:id="8">
    <w:p w:rsidR="002867F1" w:rsidRPr="007D6282" w:rsidRDefault="002867F1">
      <w:pPr>
        <w:pStyle w:val="FootnoteText"/>
        <w:rPr>
          <w:sz w:val="16"/>
          <w:szCs w:val="16"/>
        </w:rPr>
      </w:pPr>
      <w:r>
        <w:rPr>
          <w:rStyle w:val="FootnoteReference"/>
          <w:sz w:val="24"/>
          <w:szCs w:val="24"/>
        </w:rPr>
        <w:footnoteRef/>
      </w:r>
      <w:r>
        <w:t xml:space="preserve"> </w:t>
      </w:r>
      <w:r>
        <w:tab/>
      </w:r>
      <w:r>
        <w:rPr>
          <w:sz w:val="16"/>
          <w:szCs w:val="16"/>
        </w:rPr>
        <w:t>COM(2020) 274 final.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1C97EA"/>
    <w:lvl w:ilvl="0">
      <w:start w:val="1"/>
      <w:numFmt w:val="decimal"/>
      <w:lvlText w:val="%1."/>
      <w:legacy w:legacy="1" w:legacySpace="0" w:legacyIndent="0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egacy w:legacy="1" w:legacySpace="144" w:legacyIndent="0"/>
      <w:lvlJc w:val="left"/>
      <w:rPr>
        <w:b w:val="0"/>
      </w:rPr>
    </w:lvl>
    <w:lvl w:ilvl="2">
      <w:start w:val="1"/>
      <w:numFmt w:val="decimal"/>
      <w:lvlText w:val="%1.%2.%3"/>
      <w:legacy w:legacy="1" w:legacySpace="144" w:legacyIndent="0"/>
      <w:lvlJc w:val="left"/>
      <w:rPr>
        <w:b w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575010D"/>
    <w:multiLevelType w:val="hybridMultilevel"/>
    <w:tmpl w:val="E924CD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26D84"/>
    <w:multiLevelType w:val="hybridMultilevel"/>
    <w:tmpl w:val="3C9A2C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10D59"/>
    <w:multiLevelType w:val="hybridMultilevel"/>
    <w:tmpl w:val="A8204F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60DF6"/>
    <w:multiLevelType w:val="hybridMultilevel"/>
    <w:tmpl w:val="DEACE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37C1B"/>
    <w:multiLevelType w:val="hybridMultilevel"/>
    <w:tmpl w:val="DE22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4794F"/>
    <w:multiLevelType w:val="hybridMultilevel"/>
    <w:tmpl w:val="2F448F7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6AF6D72"/>
    <w:multiLevelType w:val="hybridMultilevel"/>
    <w:tmpl w:val="0156BE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2E3ADF"/>
    <w:multiLevelType w:val="hybridMultilevel"/>
    <w:tmpl w:val="98846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A2E0E"/>
    <w:multiLevelType w:val="hybridMultilevel"/>
    <w:tmpl w:val="077EC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FB3D22"/>
    <w:multiLevelType w:val="hybridMultilevel"/>
    <w:tmpl w:val="C8C49C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A0A3A"/>
    <w:multiLevelType w:val="hybridMultilevel"/>
    <w:tmpl w:val="19C28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706E"/>
    <w:multiLevelType w:val="hybridMultilevel"/>
    <w:tmpl w:val="2D3CA368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F3DB0"/>
    <w:multiLevelType w:val="hybridMultilevel"/>
    <w:tmpl w:val="B4328B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727B0"/>
    <w:multiLevelType w:val="hybridMultilevel"/>
    <w:tmpl w:val="67E07D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4864EC"/>
    <w:multiLevelType w:val="hybridMultilevel"/>
    <w:tmpl w:val="150CDCA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0D35B15"/>
    <w:multiLevelType w:val="hybridMultilevel"/>
    <w:tmpl w:val="FC4476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9C1308"/>
    <w:multiLevelType w:val="hybridMultilevel"/>
    <w:tmpl w:val="D716FD64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819A8"/>
    <w:multiLevelType w:val="hybridMultilevel"/>
    <w:tmpl w:val="D310C6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A2403"/>
    <w:multiLevelType w:val="hybridMultilevel"/>
    <w:tmpl w:val="8A429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9E1247"/>
    <w:multiLevelType w:val="hybridMultilevel"/>
    <w:tmpl w:val="1F4C3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14E37"/>
    <w:multiLevelType w:val="hybridMultilevel"/>
    <w:tmpl w:val="2C5C0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36E80"/>
    <w:multiLevelType w:val="hybridMultilevel"/>
    <w:tmpl w:val="0E66A7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3CE6A304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351A38"/>
    <w:multiLevelType w:val="hybridMultilevel"/>
    <w:tmpl w:val="3162C3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5E14A5"/>
    <w:multiLevelType w:val="hybridMultilevel"/>
    <w:tmpl w:val="5CC67A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77317D"/>
    <w:multiLevelType w:val="hybridMultilevel"/>
    <w:tmpl w:val="6A885AB2"/>
    <w:lvl w:ilvl="0" w:tplc="3F1A2BB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161A9"/>
    <w:multiLevelType w:val="hybridMultilevel"/>
    <w:tmpl w:val="9EE40B06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E36C4"/>
    <w:multiLevelType w:val="hybridMultilevel"/>
    <w:tmpl w:val="8B62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14D7F"/>
    <w:multiLevelType w:val="hybridMultilevel"/>
    <w:tmpl w:val="7F2E71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7E2FCA"/>
    <w:multiLevelType w:val="hybridMultilevel"/>
    <w:tmpl w:val="3446B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70112"/>
    <w:multiLevelType w:val="hybridMultilevel"/>
    <w:tmpl w:val="93C8C5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ED3DA0"/>
    <w:multiLevelType w:val="hybridMultilevel"/>
    <w:tmpl w:val="CC3257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207D62"/>
    <w:multiLevelType w:val="hybridMultilevel"/>
    <w:tmpl w:val="BF525C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825AC9"/>
    <w:multiLevelType w:val="hybridMultilevel"/>
    <w:tmpl w:val="2744D9E4"/>
    <w:lvl w:ilvl="0" w:tplc="222075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A460E"/>
    <w:multiLevelType w:val="multilevel"/>
    <w:tmpl w:val="C150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891A7C"/>
    <w:multiLevelType w:val="hybridMultilevel"/>
    <w:tmpl w:val="67280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15C8B"/>
    <w:multiLevelType w:val="hybridMultilevel"/>
    <w:tmpl w:val="3540373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D84E72"/>
    <w:multiLevelType w:val="hybridMultilevel"/>
    <w:tmpl w:val="6D82B1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A266CD"/>
    <w:multiLevelType w:val="hybridMultilevel"/>
    <w:tmpl w:val="8B2A6B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424AAB"/>
    <w:multiLevelType w:val="hybridMultilevel"/>
    <w:tmpl w:val="768A0C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FD3F4A"/>
    <w:multiLevelType w:val="hybridMultilevel"/>
    <w:tmpl w:val="5144F4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D351C0"/>
    <w:multiLevelType w:val="hybridMultilevel"/>
    <w:tmpl w:val="F27AE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8"/>
  </w:num>
  <w:num w:numId="4">
    <w:abstractNumId w:val="13"/>
  </w:num>
  <w:num w:numId="5">
    <w:abstractNumId w:val="31"/>
  </w:num>
  <w:num w:numId="6">
    <w:abstractNumId w:val="9"/>
  </w:num>
  <w:num w:numId="7">
    <w:abstractNumId w:val="8"/>
  </w:num>
  <w:num w:numId="8">
    <w:abstractNumId w:val="40"/>
  </w:num>
  <w:num w:numId="9">
    <w:abstractNumId w:val="15"/>
  </w:num>
  <w:num w:numId="10">
    <w:abstractNumId w:val="3"/>
  </w:num>
  <w:num w:numId="11">
    <w:abstractNumId w:val="30"/>
  </w:num>
  <w:num w:numId="12">
    <w:abstractNumId w:val="14"/>
  </w:num>
  <w:num w:numId="13">
    <w:abstractNumId w:val="36"/>
  </w:num>
  <w:num w:numId="14">
    <w:abstractNumId w:val="27"/>
  </w:num>
  <w:num w:numId="15">
    <w:abstractNumId w:val="2"/>
  </w:num>
  <w:num w:numId="16">
    <w:abstractNumId w:val="22"/>
  </w:num>
  <w:num w:numId="17">
    <w:abstractNumId w:val="12"/>
  </w:num>
  <w:num w:numId="18">
    <w:abstractNumId w:val="25"/>
  </w:num>
  <w:num w:numId="19">
    <w:abstractNumId w:val="20"/>
  </w:num>
  <w:num w:numId="20">
    <w:abstractNumId w:val="23"/>
  </w:num>
  <w:num w:numId="21">
    <w:abstractNumId w:val="21"/>
  </w:num>
  <w:num w:numId="22">
    <w:abstractNumId w:val="34"/>
  </w:num>
  <w:num w:numId="23">
    <w:abstractNumId w:val="5"/>
  </w:num>
  <w:num w:numId="24">
    <w:abstractNumId w:val="16"/>
  </w:num>
  <w:num w:numId="25">
    <w:abstractNumId w:val="17"/>
  </w:num>
  <w:num w:numId="26">
    <w:abstractNumId w:val="35"/>
  </w:num>
  <w:num w:numId="27">
    <w:abstractNumId w:val="11"/>
  </w:num>
  <w:num w:numId="28">
    <w:abstractNumId w:val="26"/>
  </w:num>
  <w:num w:numId="29">
    <w:abstractNumId w:val="33"/>
  </w:num>
  <w:num w:numId="30">
    <w:abstractNumId w:val="32"/>
  </w:num>
  <w:num w:numId="31">
    <w:abstractNumId w:val="7"/>
  </w:num>
  <w:num w:numId="32">
    <w:abstractNumId w:val="38"/>
  </w:num>
  <w:num w:numId="33">
    <w:abstractNumId w:val="29"/>
  </w:num>
  <w:num w:numId="34">
    <w:abstractNumId w:val="24"/>
  </w:num>
  <w:num w:numId="35">
    <w:abstractNumId w:val="28"/>
  </w:num>
  <w:num w:numId="36">
    <w:abstractNumId w:val="41"/>
  </w:num>
  <w:num w:numId="37">
    <w:abstractNumId w:val="6"/>
  </w:num>
  <w:num w:numId="38">
    <w:abstractNumId w:val="37"/>
  </w:num>
  <w:num w:numId="39">
    <w:abstractNumId w:val="39"/>
  </w:num>
  <w:num w:numId="40">
    <w:abstractNumId w:val="19"/>
  </w:num>
  <w:num w:numId="41">
    <w:abstractNumId w:val="10"/>
  </w:num>
  <w:num w:numId="42">
    <w:abstractNumId w:val="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2285A"/>
    <w:rsid w:val="000115F3"/>
    <w:rsid w:val="00014693"/>
    <w:rsid w:val="00014E6A"/>
    <w:rsid w:val="0001607A"/>
    <w:rsid w:val="0002399B"/>
    <w:rsid w:val="00025C0A"/>
    <w:rsid w:val="00032B76"/>
    <w:rsid w:val="00034B02"/>
    <w:rsid w:val="00041D24"/>
    <w:rsid w:val="00046905"/>
    <w:rsid w:val="0005130E"/>
    <w:rsid w:val="00052C63"/>
    <w:rsid w:val="00052CB0"/>
    <w:rsid w:val="00053254"/>
    <w:rsid w:val="00053923"/>
    <w:rsid w:val="0005456E"/>
    <w:rsid w:val="00067F05"/>
    <w:rsid w:val="00081341"/>
    <w:rsid w:val="00092FB6"/>
    <w:rsid w:val="000938C4"/>
    <w:rsid w:val="000A0D57"/>
    <w:rsid w:val="000A676E"/>
    <w:rsid w:val="000A7400"/>
    <w:rsid w:val="000B6015"/>
    <w:rsid w:val="000B6528"/>
    <w:rsid w:val="000D7781"/>
    <w:rsid w:val="000F034A"/>
    <w:rsid w:val="000F3666"/>
    <w:rsid w:val="000F448C"/>
    <w:rsid w:val="00100433"/>
    <w:rsid w:val="00122601"/>
    <w:rsid w:val="001303C7"/>
    <w:rsid w:val="00131BAD"/>
    <w:rsid w:val="00133C10"/>
    <w:rsid w:val="00135709"/>
    <w:rsid w:val="00141B6A"/>
    <w:rsid w:val="001508E5"/>
    <w:rsid w:val="00150CCB"/>
    <w:rsid w:val="00151730"/>
    <w:rsid w:val="00161FA6"/>
    <w:rsid w:val="00162E43"/>
    <w:rsid w:val="00164507"/>
    <w:rsid w:val="00164C40"/>
    <w:rsid w:val="00165C5A"/>
    <w:rsid w:val="00170B9B"/>
    <w:rsid w:val="00176CAE"/>
    <w:rsid w:val="0018679E"/>
    <w:rsid w:val="00192316"/>
    <w:rsid w:val="00194608"/>
    <w:rsid w:val="001A2814"/>
    <w:rsid w:val="001A2928"/>
    <w:rsid w:val="001A2D75"/>
    <w:rsid w:val="001B3DE5"/>
    <w:rsid w:val="001B62E2"/>
    <w:rsid w:val="001C24E4"/>
    <w:rsid w:val="001C2739"/>
    <w:rsid w:val="001D1C58"/>
    <w:rsid w:val="001D49B1"/>
    <w:rsid w:val="001D6B54"/>
    <w:rsid w:val="001D7401"/>
    <w:rsid w:val="001E18B4"/>
    <w:rsid w:val="001F20A4"/>
    <w:rsid w:val="00202FA0"/>
    <w:rsid w:val="00206C91"/>
    <w:rsid w:val="00207F48"/>
    <w:rsid w:val="002143E7"/>
    <w:rsid w:val="00216B6A"/>
    <w:rsid w:val="00221331"/>
    <w:rsid w:val="002302EF"/>
    <w:rsid w:val="0023381A"/>
    <w:rsid w:val="00234ED5"/>
    <w:rsid w:val="0023752B"/>
    <w:rsid w:val="00237BCF"/>
    <w:rsid w:val="00256E2E"/>
    <w:rsid w:val="00256F0C"/>
    <w:rsid w:val="002574BD"/>
    <w:rsid w:val="00267B85"/>
    <w:rsid w:val="00275FB7"/>
    <w:rsid w:val="00276AF1"/>
    <w:rsid w:val="00283BCC"/>
    <w:rsid w:val="002849B5"/>
    <w:rsid w:val="002867F1"/>
    <w:rsid w:val="00297A95"/>
    <w:rsid w:val="002C2A13"/>
    <w:rsid w:val="002D435E"/>
    <w:rsid w:val="002D4474"/>
    <w:rsid w:val="002D687E"/>
    <w:rsid w:val="002D78A2"/>
    <w:rsid w:val="002E4558"/>
    <w:rsid w:val="002E7C63"/>
    <w:rsid w:val="00302240"/>
    <w:rsid w:val="003179F6"/>
    <w:rsid w:val="0032643C"/>
    <w:rsid w:val="00330D7D"/>
    <w:rsid w:val="00343863"/>
    <w:rsid w:val="00356DF4"/>
    <w:rsid w:val="00360D28"/>
    <w:rsid w:val="00363E4E"/>
    <w:rsid w:val="0038092C"/>
    <w:rsid w:val="00381051"/>
    <w:rsid w:val="003814FB"/>
    <w:rsid w:val="003825D2"/>
    <w:rsid w:val="003831AE"/>
    <w:rsid w:val="00394636"/>
    <w:rsid w:val="00397E5D"/>
    <w:rsid w:val="003A17FB"/>
    <w:rsid w:val="003B12A8"/>
    <w:rsid w:val="003C1C84"/>
    <w:rsid w:val="003C2756"/>
    <w:rsid w:val="003C6A76"/>
    <w:rsid w:val="003D208F"/>
    <w:rsid w:val="003D64D4"/>
    <w:rsid w:val="003E0FE7"/>
    <w:rsid w:val="003E36A3"/>
    <w:rsid w:val="003F310F"/>
    <w:rsid w:val="00416589"/>
    <w:rsid w:val="00416F28"/>
    <w:rsid w:val="0042028E"/>
    <w:rsid w:val="00421A56"/>
    <w:rsid w:val="00422DE3"/>
    <w:rsid w:val="00455FAA"/>
    <w:rsid w:val="00457987"/>
    <w:rsid w:val="004672CD"/>
    <w:rsid w:val="00467B9B"/>
    <w:rsid w:val="00474C1C"/>
    <w:rsid w:val="004817E9"/>
    <w:rsid w:val="00483C2D"/>
    <w:rsid w:val="0049793A"/>
    <w:rsid w:val="004A63B0"/>
    <w:rsid w:val="004C08B7"/>
    <w:rsid w:val="004C40A8"/>
    <w:rsid w:val="004D5A56"/>
    <w:rsid w:val="004D6DCD"/>
    <w:rsid w:val="004D765D"/>
    <w:rsid w:val="004E1969"/>
    <w:rsid w:val="004E394E"/>
    <w:rsid w:val="004E6147"/>
    <w:rsid w:val="004E6536"/>
    <w:rsid w:val="004E71CD"/>
    <w:rsid w:val="004F3E8B"/>
    <w:rsid w:val="004F4966"/>
    <w:rsid w:val="004F6D31"/>
    <w:rsid w:val="00501E02"/>
    <w:rsid w:val="00504067"/>
    <w:rsid w:val="00512960"/>
    <w:rsid w:val="00516393"/>
    <w:rsid w:val="0051715E"/>
    <w:rsid w:val="00520210"/>
    <w:rsid w:val="0052074E"/>
    <w:rsid w:val="00523C75"/>
    <w:rsid w:val="00527019"/>
    <w:rsid w:val="005366D6"/>
    <w:rsid w:val="00541BE3"/>
    <w:rsid w:val="00542BFC"/>
    <w:rsid w:val="00544F9B"/>
    <w:rsid w:val="00545845"/>
    <w:rsid w:val="00546AEC"/>
    <w:rsid w:val="00551DF1"/>
    <w:rsid w:val="00557917"/>
    <w:rsid w:val="005708AD"/>
    <w:rsid w:val="00574134"/>
    <w:rsid w:val="005810D1"/>
    <w:rsid w:val="00583165"/>
    <w:rsid w:val="00591229"/>
    <w:rsid w:val="005977FF"/>
    <w:rsid w:val="00597990"/>
    <w:rsid w:val="005A4DE6"/>
    <w:rsid w:val="005B2DC3"/>
    <w:rsid w:val="005B3884"/>
    <w:rsid w:val="005B7D5D"/>
    <w:rsid w:val="005C55D6"/>
    <w:rsid w:val="005D06A9"/>
    <w:rsid w:val="005D5EB3"/>
    <w:rsid w:val="005E422E"/>
    <w:rsid w:val="00600069"/>
    <w:rsid w:val="00601828"/>
    <w:rsid w:val="006106B7"/>
    <w:rsid w:val="0062568E"/>
    <w:rsid w:val="00637313"/>
    <w:rsid w:val="00640135"/>
    <w:rsid w:val="006475F5"/>
    <w:rsid w:val="00651753"/>
    <w:rsid w:val="00662DAD"/>
    <w:rsid w:val="00680D0A"/>
    <w:rsid w:val="00683784"/>
    <w:rsid w:val="0068468C"/>
    <w:rsid w:val="00685424"/>
    <w:rsid w:val="00690EA1"/>
    <w:rsid w:val="006A0A27"/>
    <w:rsid w:val="006A3AC8"/>
    <w:rsid w:val="006A6308"/>
    <w:rsid w:val="006C313B"/>
    <w:rsid w:val="006C7232"/>
    <w:rsid w:val="006D03C7"/>
    <w:rsid w:val="006D7CA9"/>
    <w:rsid w:val="006E239E"/>
    <w:rsid w:val="006E25E8"/>
    <w:rsid w:val="006E2F96"/>
    <w:rsid w:val="006E637D"/>
    <w:rsid w:val="006F05D5"/>
    <w:rsid w:val="006F1412"/>
    <w:rsid w:val="00707604"/>
    <w:rsid w:val="00713D60"/>
    <w:rsid w:val="0072116E"/>
    <w:rsid w:val="00721DAE"/>
    <w:rsid w:val="0072285A"/>
    <w:rsid w:val="00727544"/>
    <w:rsid w:val="00733ED3"/>
    <w:rsid w:val="0073453E"/>
    <w:rsid w:val="00735CF1"/>
    <w:rsid w:val="0074046E"/>
    <w:rsid w:val="00760515"/>
    <w:rsid w:val="007753DD"/>
    <w:rsid w:val="00777281"/>
    <w:rsid w:val="00777E8D"/>
    <w:rsid w:val="007905B1"/>
    <w:rsid w:val="007923D6"/>
    <w:rsid w:val="00795798"/>
    <w:rsid w:val="007A1EBE"/>
    <w:rsid w:val="007A4C60"/>
    <w:rsid w:val="007C4B51"/>
    <w:rsid w:val="007D5468"/>
    <w:rsid w:val="007D6282"/>
    <w:rsid w:val="007D78B0"/>
    <w:rsid w:val="007E1479"/>
    <w:rsid w:val="007E71D2"/>
    <w:rsid w:val="007F06FE"/>
    <w:rsid w:val="007F2CBE"/>
    <w:rsid w:val="00802BB6"/>
    <w:rsid w:val="00812835"/>
    <w:rsid w:val="00813159"/>
    <w:rsid w:val="00813175"/>
    <w:rsid w:val="0081584B"/>
    <w:rsid w:val="00816F4D"/>
    <w:rsid w:val="00824102"/>
    <w:rsid w:val="0082432A"/>
    <w:rsid w:val="008334CE"/>
    <w:rsid w:val="00834904"/>
    <w:rsid w:val="00843D2C"/>
    <w:rsid w:val="00844255"/>
    <w:rsid w:val="00862342"/>
    <w:rsid w:val="00864E4E"/>
    <w:rsid w:val="008707AC"/>
    <w:rsid w:val="0087706E"/>
    <w:rsid w:val="008839C1"/>
    <w:rsid w:val="008911F1"/>
    <w:rsid w:val="00892F78"/>
    <w:rsid w:val="0089643A"/>
    <w:rsid w:val="008B149E"/>
    <w:rsid w:val="008C0E34"/>
    <w:rsid w:val="008C4469"/>
    <w:rsid w:val="008D2AB3"/>
    <w:rsid w:val="008D4711"/>
    <w:rsid w:val="008D5638"/>
    <w:rsid w:val="008E118B"/>
    <w:rsid w:val="008F79F2"/>
    <w:rsid w:val="00900A36"/>
    <w:rsid w:val="009049AD"/>
    <w:rsid w:val="00905E0B"/>
    <w:rsid w:val="00913EFC"/>
    <w:rsid w:val="0092426C"/>
    <w:rsid w:val="009243B3"/>
    <w:rsid w:val="00934DE3"/>
    <w:rsid w:val="009521C5"/>
    <w:rsid w:val="009556D1"/>
    <w:rsid w:val="00955CC3"/>
    <w:rsid w:val="00956A7E"/>
    <w:rsid w:val="0096073F"/>
    <w:rsid w:val="00963831"/>
    <w:rsid w:val="00963907"/>
    <w:rsid w:val="00963CAE"/>
    <w:rsid w:val="00964812"/>
    <w:rsid w:val="00966530"/>
    <w:rsid w:val="00975F99"/>
    <w:rsid w:val="00980663"/>
    <w:rsid w:val="009A26F3"/>
    <w:rsid w:val="009A3B0A"/>
    <w:rsid w:val="009A6986"/>
    <w:rsid w:val="009B4D06"/>
    <w:rsid w:val="009D4BA6"/>
    <w:rsid w:val="009D61A0"/>
    <w:rsid w:val="009E1D16"/>
    <w:rsid w:val="009F12EC"/>
    <w:rsid w:val="00A01F44"/>
    <w:rsid w:val="00A10939"/>
    <w:rsid w:val="00A1673A"/>
    <w:rsid w:val="00A22BE1"/>
    <w:rsid w:val="00A22F3A"/>
    <w:rsid w:val="00A23EB5"/>
    <w:rsid w:val="00A26CF2"/>
    <w:rsid w:val="00A27344"/>
    <w:rsid w:val="00A3011E"/>
    <w:rsid w:val="00A31CB4"/>
    <w:rsid w:val="00A3420D"/>
    <w:rsid w:val="00A374F6"/>
    <w:rsid w:val="00A44404"/>
    <w:rsid w:val="00A44C00"/>
    <w:rsid w:val="00A571FB"/>
    <w:rsid w:val="00A60CBD"/>
    <w:rsid w:val="00A627FF"/>
    <w:rsid w:val="00A6794C"/>
    <w:rsid w:val="00AA0A34"/>
    <w:rsid w:val="00AC32BD"/>
    <w:rsid w:val="00AE25ED"/>
    <w:rsid w:val="00AE28C2"/>
    <w:rsid w:val="00AF2098"/>
    <w:rsid w:val="00AF3183"/>
    <w:rsid w:val="00B00737"/>
    <w:rsid w:val="00B106AE"/>
    <w:rsid w:val="00B2663E"/>
    <w:rsid w:val="00B322C0"/>
    <w:rsid w:val="00B34D34"/>
    <w:rsid w:val="00B40809"/>
    <w:rsid w:val="00B439B5"/>
    <w:rsid w:val="00B64CF9"/>
    <w:rsid w:val="00B65A9B"/>
    <w:rsid w:val="00B7123C"/>
    <w:rsid w:val="00B82791"/>
    <w:rsid w:val="00B84141"/>
    <w:rsid w:val="00B84E8E"/>
    <w:rsid w:val="00B8537F"/>
    <w:rsid w:val="00B85A43"/>
    <w:rsid w:val="00B8636D"/>
    <w:rsid w:val="00B8680B"/>
    <w:rsid w:val="00B87B5D"/>
    <w:rsid w:val="00B9336C"/>
    <w:rsid w:val="00BA1F92"/>
    <w:rsid w:val="00BB1B45"/>
    <w:rsid w:val="00BB2C93"/>
    <w:rsid w:val="00BB429C"/>
    <w:rsid w:val="00BB7CA9"/>
    <w:rsid w:val="00BC2F4F"/>
    <w:rsid w:val="00BC4DFB"/>
    <w:rsid w:val="00BD1A92"/>
    <w:rsid w:val="00BD5B75"/>
    <w:rsid w:val="00BE04A0"/>
    <w:rsid w:val="00BE4728"/>
    <w:rsid w:val="00BE4BA0"/>
    <w:rsid w:val="00C01120"/>
    <w:rsid w:val="00C01839"/>
    <w:rsid w:val="00C041EB"/>
    <w:rsid w:val="00C06CC1"/>
    <w:rsid w:val="00C06DC9"/>
    <w:rsid w:val="00C075AB"/>
    <w:rsid w:val="00C20C91"/>
    <w:rsid w:val="00C318C3"/>
    <w:rsid w:val="00C34231"/>
    <w:rsid w:val="00C35ACB"/>
    <w:rsid w:val="00C51CDC"/>
    <w:rsid w:val="00C608E8"/>
    <w:rsid w:val="00C62953"/>
    <w:rsid w:val="00C641F3"/>
    <w:rsid w:val="00C66625"/>
    <w:rsid w:val="00C6742B"/>
    <w:rsid w:val="00C75BF9"/>
    <w:rsid w:val="00C805EF"/>
    <w:rsid w:val="00C82EBC"/>
    <w:rsid w:val="00C84735"/>
    <w:rsid w:val="00C945EC"/>
    <w:rsid w:val="00C97045"/>
    <w:rsid w:val="00CA1F75"/>
    <w:rsid w:val="00CA2769"/>
    <w:rsid w:val="00CA5888"/>
    <w:rsid w:val="00CB01B5"/>
    <w:rsid w:val="00CB40F6"/>
    <w:rsid w:val="00CB58E9"/>
    <w:rsid w:val="00CB59AB"/>
    <w:rsid w:val="00CB78E1"/>
    <w:rsid w:val="00CC0748"/>
    <w:rsid w:val="00CC2877"/>
    <w:rsid w:val="00CE0C02"/>
    <w:rsid w:val="00CE3FF6"/>
    <w:rsid w:val="00CE5349"/>
    <w:rsid w:val="00CE6161"/>
    <w:rsid w:val="00CE647D"/>
    <w:rsid w:val="00CF62BC"/>
    <w:rsid w:val="00D05EFB"/>
    <w:rsid w:val="00D21912"/>
    <w:rsid w:val="00D23217"/>
    <w:rsid w:val="00D2347B"/>
    <w:rsid w:val="00D30FFF"/>
    <w:rsid w:val="00D42921"/>
    <w:rsid w:val="00D46EE1"/>
    <w:rsid w:val="00D60C7D"/>
    <w:rsid w:val="00D62509"/>
    <w:rsid w:val="00D73854"/>
    <w:rsid w:val="00D83929"/>
    <w:rsid w:val="00D92803"/>
    <w:rsid w:val="00D95224"/>
    <w:rsid w:val="00D96749"/>
    <w:rsid w:val="00D970BA"/>
    <w:rsid w:val="00DA6BFC"/>
    <w:rsid w:val="00DC0DF4"/>
    <w:rsid w:val="00DC10FC"/>
    <w:rsid w:val="00DC130C"/>
    <w:rsid w:val="00DC5206"/>
    <w:rsid w:val="00DD5024"/>
    <w:rsid w:val="00DD6575"/>
    <w:rsid w:val="00DE0EAA"/>
    <w:rsid w:val="00DF7306"/>
    <w:rsid w:val="00E01C1B"/>
    <w:rsid w:val="00E01D16"/>
    <w:rsid w:val="00E02AB5"/>
    <w:rsid w:val="00E040F8"/>
    <w:rsid w:val="00E0617C"/>
    <w:rsid w:val="00E12B0B"/>
    <w:rsid w:val="00E136C4"/>
    <w:rsid w:val="00E15129"/>
    <w:rsid w:val="00E1591B"/>
    <w:rsid w:val="00E35306"/>
    <w:rsid w:val="00E3553B"/>
    <w:rsid w:val="00E416E1"/>
    <w:rsid w:val="00E437FD"/>
    <w:rsid w:val="00E44082"/>
    <w:rsid w:val="00E46B57"/>
    <w:rsid w:val="00E555CA"/>
    <w:rsid w:val="00E56486"/>
    <w:rsid w:val="00E6624D"/>
    <w:rsid w:val="00E70070"/>
    <w:rsid w:val="00E83696"/>
    <w:rsid w:val="00E92E7E"/>
    <w:rsid w:val="00EA2779"/>
    <w:rsid w:val="00EA509C"/>
    <w:rsid w:val="00EB1C0F"/>
    <w:rsid w:val="00EB2F01"/>
    <w:rsid w:val="00EB524C"/>
    <w:rsid w:val="00EB757B"/>
    <w:rsid w:val="00EC1680"/>
    <w:rsid w:val="00EC5B66"/>
    <w:rsid w:val="00ED149D"/>
    <w:rsid w:val="00ED15E6"/>
    <w:rsid w:val="00ED3456"/>
    <w:rsid w:val="00ED7ACC"/>
    <w:rsid w:val="00EE17DD"/>
    <w:rsid w:val="00EE2DE9"/>
    <w:rsid w:val="00EF2742"/>
    <w:rsid w:val="00EF499D"/>
    <w:rsid w:val="00EF64DD"/>
    <w:rsid w:val="00EF764C"/>
    <w:rsid w:val="00F04DCA"/>
    <w:rsid w:val="00F1181A"/>
    <w:rsid w:val="00F11EF0"/>
    <w:rsid w:val="00F12A32"/>
    <w:rsid w:val="00F1429C"/>
    <w:rsid w:val="00F165DD"/>
    <w:rsid w:val="00F2366F"/>
    <w:rsid w:val="00F32EC7"/>
    <w:rsid w:val="00F34D21"/>
    <w:rsid w:val="00F37A45"/>
    <w:rsid w:val="00F416B5"/>
    <w:rsid w:val="00F5129F"/>
    <w:rsid w:val="00F52BD7"/>
    <w:rsid w:val="00F56CB3"/>
    <w:rsid w:val="00F603F6"/>
    <w:rsid w:val="00F771E0"/>
    <w:rsid w:val="00F84647"/>
    <w:rsid w:val="00FA14B4"/>
    <w:rsid w:val="00FA2335"/>
    <w:rsid w:val="00FA4BF5"/>
    <w:rsid w:val="00FB2486"/>
    <w:rsid w:val="00FB5AB4"/>
    <w:rsid w:val="00FD5044"/>
    <w:rsid w:val="00FE1A83"/>
    <w:rsid w:val="00FF02EB"/>
    <w:rsid w:val="00FF128D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08762808-7259-4888-8A2B-495016CBCEB6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64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6837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784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83784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683784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683784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683784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683784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683784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68378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5A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FootnoteText">
    <w:name w:val="footnote text"/>
    <w:basedOn w:val="Normal"/>
    <w:link w:val="FootnoteTextChar"/>
    <w:unhideWhenUsed/>
    <w:qFormat/>
    <w:rsid w:val="0068378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E71D2"/>
    <w:rPr>
      <w:sz w:val="20"/>
      <w:szCs w:val="20"/>
      <w:lang w:val="mt-MT"/>
    </w:rPr>
  </w:style>
  <w:style w:type="character" w:styleId="FootnoteReference">
    <w:name w:val="footnote reference"/>
    <w:basedOn w:val="DefaultParagraphFont"/>
    <w:unhideWhenUsed/>
    <w:qFormat/>
    <w:rsid w:val="0068378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4C6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4C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C60"/>
    <w:rPr>
      <w:rFonts w:ascii="Times New Roman" w:eastAsia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C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C60"/>
    <w:rPr>
      <w:rFonts w:ascii="Times New Roman" w:eastAsia="Times New Roman" w:hAnsi="Times New Roman" w:cs="Times New Roman"/>
      <w:b/>
      <w:bCs/>
      <w:sz w:val="20"/>
      <w:szCs w:val="20"/>
      <w:lang w:val="mt-MT"/>
    </w:rPr>
  </w:style>
  <w:style w:type="paragraph" w:styleId="Revision">
    <w:name w:val="Revision"/>
    <w:hidden/>
    <w:uiPriority w:val="99"/>
    <w:semiHidden/>
    <w:rsid w:val="007A4C60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C60"/>
    <w:rPr>
      <w:rFonts w:ascii="Tahoma" w:eastAsia="Times New Roman" w:hAnsi="Tahoma" w:cs="Tahoma"/>
      <w:sz w:val="16"/>
      <w:szCs w:val="16"/>
      <w:lang w:val="mt-MT"/>
    </w:rPr>
  </w:style>
  <w:style w:type="character" w:customStyle="1" w:styleId="normaltextrun">
    <w:name w:val="normaltextrun"/>
    <w:basedOn w:val="DefaultParagraphFont"/>
    <w:rsid w:val="00F12A32"/>
  </w:style>
  <w:style w:type="character" w:customStyle="1" w:styleId="eop">
    <w:name w:val="eop"/>
    <w:basedOn w:val="DefaultParagraphFont"/>
    <w:rsid w:val="00F12A32"/>
  </w:style>
  <w:style w:type="character" w:customStyle="1" w:styleId="spellingerror">
    <w:name w:val="spellingerror"/>
    <w:basedOn w:val="DefaultParagraphFont"/>
    <w:rsid w:val="00CC0748"/>
  </w:style>
  <w:style w:type="paragraph" w:styleId="Header">
    <w:name w:val="header"/>
    <w:basedOn w:val="Normal"/>
    <w:link w:val="Head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B1C0F"/>
    <w:rPr>
      <w:lang w:val="mt-MT"/>
    </w:rPr>
  </w:style>
  <w:style w:type="paragraph" w:styleId="Footer">
    <w:name w:val="footer"/>
    <w:basedOn w:val="Normal"/>
    <w:link w:val="FooterChar"/>
    <w:unhideWhenUsed/>
    <w:qFormat/>
    <w:rsid w:val="00683784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EB1C0F"/>
    <w:rPr>
      <w:lang w:val="mt-MT"/>
    </w:rPr>
  </w:style>
  <w:style w:type="character" w:customStyle="1" w:styleId="Heading1Char">
    <w:name w:val="Heading 1 Char"/>
    <w:basedOn w:val="DefaultParagraphFont"/>
    <w:link w:val="Heading1"/>
    <w:rsid w:val="00CE53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mt-M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D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DC3"/>
    <w:rPr>
      <w:rFonts w:eastAsiaTheme="minorEastAsia"/>
      <w:color w:val="5A5A5A" w:themeColor="text1" w:themeTint="A5"/>
      <w:spacing w:val="15"/>
      <w:lang w:val="mt-MT"/>
    </w:rPr>
  </w:style>
  <w:style w:type="character" w:styleId="Hyperlink">
    <w:name w:val="Hyperlink"/>
    <w:basedOn w:val="DefaultParagraphFont"/>
    <w:uiPriority w:val="99"/>
    <w:unhideWhenUsed/>
    <w:rsid w:val="00014E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31CB4"/>
    <w:rPr>
      <w:lang w:val="mt-MT"/>
    </w:rPr>
  </w:style>
  <w:style w:type="character" w:customStyle="1" w:styleId="Heading3Char">
    <w:name w:val="Heading 3 Char"/>
    <w:basedOn w:val="DefaultParagraphFont"/>
    <w:link w:val="Heading3"/>
    <w:rsid w:val="00A31CB4"/>
    <w:rPr>
      <w:lang w:val="mt-MT"/>
    </w:rPr>
  </w:style>
  <w:style w:type="character" w:customStyle="1" w:styleId="Heading4Char">
    <w:name w:val="Heading 4 Char"/>
    <w:basedOn w:val="DefaultParagraphFont"/>
    <w:link w:val="Heading4"/>
    <w:rsid w:val="00A31CB4"/>
    <w:rPr>
      <w:lang w:val="mt-MT"/>
    </w:rPr>
  </w:style>
  <w:style w:type="character" w:customStyle="1" w:styleId="Heading5Char">
    <w:name w:val="Heading 5 Char"/>
    <w:basedOn w:val="DefaultParagraphFont"/>
    <w:link w:val="Heading5"/>
    <w:rsid w:val="00A31CB4"/>
    <w:rPr>
      <w:lang w:val="mt-MT"/>
    </w:rPr>
  </w:style>
  <w:style w:type="character" w:customStyle="1" w:styleId="Heading6Char">
    <w:name w:val="Heading 6 Char"/>
    <w:basedOn w:val="DefaultParagraphFont"/>
    <w:link w:val="Heading6"/>
    <w:rsid w:val="00A31CB4"/>
    <w:rPr>
      <w:lang w:val="mt-MT"/>
    </w:rPr>
  </w:style>
  <w:style w:type="character" w:customStyle="1" w:styleId="Heading7Char">
    <w:name w:val="Heading 7 Char"/>
    <w:basedOn w:val="DefaultParagraphFont"/>
    <w:link w:val="Heading7"/>
    <w:rsid w:val="00A31CB4"/>
    <w:rPr>
      <w:lang w:val="mt-MT"/>
    </w:rPr>
  </w:style>
  <w:style w:type="character" w:customStyle="1" w:styleId="Heading8Char">
    <w:name w:val="Heading 8 Char"/>
    <w:basedOn w:val="DefaultParagraphFont"/>
    <w:link w:val="Heading8"/>
    <w:rsid w:val="00A31CB4"/>
    <w:rPr>
      <w:lang w:val="mt-MT"/>
    </w:rPr>
  </w:style>
  <w:style w:type="character" w:customStyle="1" w:styleId="Heading9Char">
    <w:name w:val="Heading 9 Char"/>
    <w:basedOn w:val="DefaultParagraphFont"/>
    <w:link w:val="Heading9"/>
    <w:rsid w:val="00A31CB4"/>
    <w:rPr>
      <w:lang w:val="mt-MT"/>
    </w:rPr>
  </w:style>
  <w:style w:type="paragraph" w:customStyle="1" w:styleId="quotes">
    <w:name w:val="quotes"/>
    <w:basedOn w:val="Normal"/>
    <w:next w:val="Normal"/>
    <w:rsid w:val="00A31CB4"/>
    <w:pPr>
      <w:ind w:left="7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26" Type="http://schemas.openxmlformats.org/officeDocument/2006/relationships/customXml" Target="../customXml/item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5" Type="http://schemas.microsoft.com/office/2016/09/relationships/commentsIds" Target="commentsIds.xml"/><Relationship Id="rId16" Type="http://schemas.openxmlformats.org/officeDocument/2006/relationships/footer" Target="footer1.xml"/><Relationship Id="rId29" Type="http://schemas.openxmlformats.org/officeDocument/2006/relationships/customXml" Target="../customXml/item4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15" Type="http://schemas.openxmlformats.org/officeDocument/2006/relationships/hyperlink" Target="https://s3platform.jrc.ec.europa.eu/social-economy" TargetMode="External"/><Relationship Id="rId28" Type="http://schemas.openxmlformats.org/officeDocument/2006/relationships/customXml" Target="../customXml/item3.xml"/><Relationship Id="rId10" Type="http://schemas.openxmlformats.org/officeDocument/2006/relationships/footnotes" Target="footnotes.xml"/><Relationship Id="rId9" Type="http://schemas.openxmlformats.org/officeDocument/2006/relationships/webSettings" Target="webSettings.xml"/><Relationship Id="rId14" Type="http://schemas.openxmlformats.org/officeDocument/2006/relationships/hyperlink" Target="https://www.europeanjobdays.eu/en" TargetMode="External"/><Relationship Id="rId27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xUriServ/LexUriServ.do?uri=OJ:C:2012:102:0006:0010:MT:PDF" TargetMode="External"/><Relationship Id="rId1" Type="http://schemas.openxmlformats.org/officeDocument/2006/relationships/hyperlink" Target="https://ec.europa.eu/commission/sites/beta-political/files/reflection-paper-social-dimension-europe_mt.pdf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3T5AXJEHYTWU-1246943346-5576</_dlc_DocId>
    <_dlc_DocIdUrl xmlns="0b452354-65a4-4dd6-8824-e6b830247e3e">
      <Url>http://dm2016/cor/2020/_layouts/15/DocIdRedir.aspx?ID=3T5AXJEHYTWU-1246943346-5576</Url>
      <Description>3T5AXJEHYTWU-1246943346-5576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TCD</TermName>
          <TermId xmlns="http://schemas.microsoft.com/office/infopath/2007/PartnerControls">cd9d6eb6-3f4f-424a-b2d1-57c9d450eaaf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2020-11-23T12:00:00+00:00</ProductionDate>
    <FicheYear xmlns="0b452354-65a4-4dd6-8824-e6b830247e3e">2020</FicheYear>
    <DocumentNumber xmlns="4bbe3f12-7728-4332-8165-6531ead52725">4835</DocumentNumber>
    <DocumentVersion xmlns="0b452354-65a4-4dd6-8824-e6b830247e3e">1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31</Value>
      <Value>30</Value>
      <Value>29</Value>
      <Value>27</Value>
      <Value>26</Value>
      <Value>25</Value>
      <Value>23</Value>
      <Value>22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12567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FFA13EF6-ABF9-4074-8DD7-03B7A3036E51}"/>
</file>

<file path=customXml/itemProps2.xml><?xml version="1.0" encoding="utf-8"?>
<ds:datastoreItem xmlns:ds="http://schemas.openxmlformats.org/officeDocument/2006/customXml" ds:itemID="{56FA7034-BC0C-42EA-A030-5EC9C9E5D5A2}"/>
</file>

<file path=customXml/itemProps3.xml><?xml version="1.0" encoding="utf-8"?>
<ds:datastoreItem xmlns:ds="http://schemas.openxmlformats.org/officeDocument/2006/customXml" ds:itemID="{12AB7A96-6548-479C-ADE3-FB272ACE9532}"/>
</file>

<file path=customXml/itemProps4.xml><?xml version="1.0" encoding="utf-8"?>
<ds:datastoreItem xmlns:ds="http://schemas.openxmlformats.org/officeDocument/2006/customXml" ds:itemID="{EE239107-AF26-42CB-808D-28F1D60D4AA6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7</TotalTime>
  <Pages>9</Pages>
  <Words>2873</Words>
  <Characters>16379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EESC-ECOR</Company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KtR - DĠ EMPL dokument konġunt: Oqsma għal kooperazzjoni msaħħa</dc:title>
  <dc:creator>Thomas Wobben</dc:creator>
  <cp:keywords>COR-2020-04835-00-01-TCD-TRA-EN</cp:keywords>
  <dc:description>Rapporteur:  - Original language: EN - Date of document: 23/11/2020 - Date of meeting: 25/11/2020 - External documents:  - Administrator:  PETRAS Georgios</dc:description>
  <cp:lastModifiedBy>Gauci Sephora</cp:lastModifiedBy>
  <cp:revision>6</cp:revision>
  <cp:lastPrinted>2020-10-07T12:59:00Z</cp:lastPrinted>
  <dcterms:created xsi:type="dcterms:W3CDTF">2020-11-17T16:19:00Z</dcterms:created>
  <dcterms:modified xsi:type="dcterms:W3CDTF">2020-11-23T12:30:00Z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17/11/2020, 17/11/2020, 03/11/2020</vt:lpwstr>
  </property>
  <property fmtid="{D5CDD505-2E9C-101B-9397-08002B2CF9AE}" pid="4" name="Pref_Time">
    <vt:lpwstr>17:11:11, 17:01:01, 11:51:23</vt:lpwstr>
  </property>
  <property fmtid="{D5CDD505-2E9C-101B-9397-08002B2CF9AE}" pid="5" name="Pref_User">
    <vt:lpwstr>enied, ssex, amett</vt:lpwstr>
  </property>
  <property fmtid="{D5CDD505-2E9C-101B-9397-08002B2CF9AE}" pid="6" name="Pref_FileName">
    <vt:lpwstr>COR-2020-04835-00-01-TCD-TRA-EN-CRR.docx, COR-2020-04835-00-01-TCD-CRR-EN.docx, COR-2020-04835-00-00-TCD-TRA-EN-CRR.docx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bb9e2236-bcb5-426c-b71a-76a979296564</vt:lpwstr>
  </property>
  <property fmtid="{D5CDD505-2E9C-101B-9397-08002B2CF9AE}" pid="9" name="AvailableTranslations">
    <vt:lpwstr>31;#LV|46f7e311-5d9f-4663-b433-18aeccb7ace7;#4;#FR|d2afafd3-4c81-4f60-8f52-ee33f2f54ff3;#16;#ES|e7a6b05b-ae16-40c8-add9-68b64b03aeba;#36;#FI|87606a43-d45f-42d6-b8c9-e1a3457db5b7;#34;#CS|72f9705b-0217-4fd3-bea2-cbc7ed80e26e;#19;#LT|a7ff5ce7-6123-4f68-865a-a57c31810414;#35;#PT|50ccc04a-eadd-42ae-a0cb-acaf45f812ba;#13;#HR|2f555653-ed1a-4fe6-8362-9082d95989e5;#12;#EL|6d4f4d51-af9b-4650-94b4-4276bee85c91;#38;#RO|feb747a2-64cd-4299-af12-4833ddc30497;#14;#MT|7df99101-6854-4a26-b53a-b88c0da02c26;#18;#NL|55c6556c-b4f4-441d-9acf-c498d4f838bd;#23;#DE|f6b31e5a-26fa-4935-b661-318e46daf27e;#30;#DA|5d49c027-8956-412b-aa16-e85a0f96ad0e;#27;#HU|6b229040-c589-4408-b4c1-4285663d20a8;#26;#SL|98a412ae-eb01-49e9-ae3d-585a81724cfc;#17;#PL|1e03da61-4678-4e07-b136-b5024ca9197b;#37;#BG|1a1b3951-7821-4e6a-85f5-5673fc08bd2c;#29;#SV|c2ed69e7-a339-43d7-8f22-d93680a92aa0;#25;#ET|ff6c3f4c-b02c-4c3c-ab07-2c37995a7a0a;#11;#IT|0774613c-01ed-4e5d-a25d-11d2388de825;#15;#SK|46d9fce0-ef79-4f71-b89b-cd6aa82426b8;#7;#EN|f2175f21-25d7-44a3-96da-d6a61b075e1b</vt:lpwstr>
  </property>
  <property fmtid="{D5CDD505-2E9C-101B-9397-08002B2CF9AE}" pid="10" name="DocumentType_0">
    <vt:lpwstr>TCD|cd9d6eb6-3f4f-424a-b2d1-57c9d450eaaf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4835</vt:i4>
  </property>
  <property fmtid="{D5CDD505-2E9C-101B-9397-08002B2CF9AE}" pid="15" name="FicheYear">
    <vt:i4>2020</vt:i4>
  </property>
  <property fmtid="{D5CDD505-2E9C-101B-9397-08002B2CF9AE}" pid="16" name="DocumentVersion">
    <vt:i4>1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22;#TCD|cd9d6eb6-3f4f-424a-b2d1-57c9d450eaaf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LV|46f7e311-5d9f-4663-b433-18aeccb7ace7;LT|a7ff5ce7-6123-4f68-865a-a57c31810414;PT|50ccc04a-eadd-42ae-a0cb-acaf45f812ba;PL|1e03da61-4678-4e07-b136-b5024ca9197b;EN|f2175f21-25d7-44a3-96da-d6a61b075e1b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31;#LV|46f7e311-5d9f-4663-b433-18aeccb7ace7;#17;#PL|1e03da61-4678-4e07-b136-b5024ca9197b;#8;#TRA|150d2a88-1431-44e6-a8ca-0bb753ab8672;#7;#EN|f2175f21-25d7-44a3-96da-d6a61b075e1b;#6;#Final|ea5e6674-7b27-4bac-b091-73adbb394efe;#22;#TCD|cd9d6eb6-3f4f-424a-b2d1-57c9d450eaaf;#19;#LT|a7ff5ce7-6123-4f68-865a-a57c31810414;#1;#CoR|cb2d75ef-4a7d-4393-b797-49ed6298a5ea;#35;#PT|50ccc04a-eadd-42ae-a0cb-acaf45f812b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12567</vt:i4>
  </property>
  <property fmtid="{D5CDD505-2E9C-101B-9397-08002B2CF9AE}" pid="38" name="DocumentLanguage">
    <vt:lpwstr>14;#MT|7df99101-6854-4a26-b53a-b88c0da02c26</vt:lpwstr>
  </property>
  <property fmtid="{D5CDD505-2E9C-101B-9397-08002B2CF9AE}" pid="39" name="_docset_NoMedatataSyncRequired">
    <vt:lpwstr>False</vt:lpwstr>
  </property>
</Properties>
</file>