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B5D" w:rsidRPr="003814FB" w:rsidRDefault="0023381A" w:rsidP="00151730">
      <w:pPr>
        <w:rPr>
          <w:b/>
          <w:sz w:val="36"/>
          <w:szCs w:val="36"/>
          <w:u w:val="single"/>
        </w:rPr>
      </w:pPr>
      <w:bookmarkStart w:id="0" w:name="_GoBack"/>
      <w:bookmarkEnd w:id="0"/>
      <w:r>
        <w:rPr>
          <w:noProof/>
          <w:lang w:val="fr-BE" w:eastAsia="fr-BE"/>
        </w:rPr>
        <w:drawing>
          <wp:anchor distT="0" distB="0" distL="114300" distR="114300" simplePos="0" relativeHeight="251658240" behindDoc="0" locked="0" layoutInCell="1" allowOverlap="1" wp14:anchorId="7062ED57" wp14:editId="16948DED">
            <wp:simplePos x="0" y="0"/>
            <wp:positionH relativeFrom="margin">
              <wp:align>right</wp:align>
            </wp:positionH>
            <wp:positionV relativeFrom="paragraph">
              <wp:posOffset>0</wp:posOffset>
            </wp:positionV>
            <wp:extent cx="1202400" cy="925200"/>
            <wp:effectExtent l="0" t="0" r="0" b="8255"/>
            <wp:wrapNone/>
            <wp:docPr id="5" name="Picture 5"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for Word EN Positiv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2400" cy="92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102D3">
        <w:rPr>
          <w:noProof/>
          <w:lang w:val="fr-BE" w:eastAsia="fr-BE"/>
        </w:rPr>
        <w:drawing>
          <wp:inline distT="0" distB="0" distL="0" distR="0" wp14:anchorId="4591F3FE" wp14:editId="0B4A2607">
            <wp:extent cx="1799590" cy="1555750"/>
            <wp:effectExtent l="0" t="0" r="0" b="6350"/>
            <wp:docPr id="3" name="Picture 3" title="CoRLogo_N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p>
    <w:p w:rsidR="00B87B5D" w:rsidRPr="003814FB" w:rsidRDefault="00C82EBC">
      <w:pPr>
        <w:jc w:val="center"/>
        <w:rPr>
          <w:b/>
          <w:sz w:val="36"/>
          <w:szCs w:val="36"/>
          <w:u w:val="single"/>
        </w:rPr>
      </w:pPr>
      <w:r>
        <w:rPr>
          <w:b/>
          <w:noProof/>
          <w:sz w:val="20"/>
          <w:szCs w:val="36"/>
          <w:u w:val="single"/>
          <w:lang w:val="fr-BE" w:eastAsia="fr-BE"/>
        </w:rPr>
        <mc:AlternateContent>
          <mc:Choice Requires="wps">
            <w:drawing>
              <wp:anchor distT="0" distB="0" distL="114300" distR="114300" simplePos="0" relativeHeight="251664384" behindDoc="1" locked="0" layoutInCell="0" allowOverlap="1" wp14:anchorId="0A16B62C" wp14:editId="245779F2">
                <wp:simplePos x="0" y="0"/>
                <wp:positionH relativeFrom="page">
                  <wp:posOffset>6769100</wp:posOffset>
                </wp:positionH>
                <wp:positionV relativeFrom="page">
                  <wp:posOffset>10081260</wp:posOffset>
                </wp:positionV>
                <wp:extent cx="647700" cy="396240"/>
                <wp:effectExtent l="0" t="3810" r="3175"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2EBC" w:rsidRPr="00260E65" w:rsidRDefault="00C82EBC">
                            <w:pPr>
                              <w:jc w:val="center"/>
                              <w:rPr>
                                <w:rFonts w:ascii="Arial" w:hAnsi="Arial" w:cs="Arial"/>
                                <w:b/>
                                <w:bCs/>
                                <w:sz w:val="48"/>
                              </w:rPr>
                            </w:pPr>
                            <w:r>
                              <w:rPr>
                                <w:rFonts w:ascii="Arial" w:hAnsi="Arial"/>
                                <w:b/>
                                <w:bCs/>
                                <w:sz w:val="48"/>
                              </w:rPr>
                              <w:t>NL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6B62C"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l0EtQIAALk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B2tl0EtQIAALkF&#10;AAAOAAAAAAAAAAAAAAAAAC4CAABkcnMvZTJvRG9jLnhtbFBLAQItABQABgAIAAAAIQDrVDFa3gAA&#10;AA8BAAAPAAAAAAAAAAAAAAAAAA8FAABkcnMvZG93bnJldi54bWxQSwUGAAAAAAQABADzAAAAGgYA&#10;AAAA&#10;" o:allowincell="f" filled="f" stroked="f">
                <v:textbox>
                  <w:txbxContent>
                    <w:p w:rsidR="00C82EBC" w:rsidRPr="00260E65" w:rsidRDefault="00C82EBC">
                      <w:pPr>
                        <w:jc w:val="center"/>
                        <w:rPr>
                          <w:rFonts w:ascii="Arial" w:hAnsi="Arial" w:cs="Arial"/>
                          <w:b/>
                          <w:bCs/>
                          <w:sz w:val="48"/>
                        </w:rPr>
                      </w:pPr>
                      <w:r>
                        <w:rPr>
                          <w:rFonts w:ascii="Arial" w:hAnsi="Arial"/>
                          <w:b/>
                          <w:bCs/>
                          <w:sz w:val="48"/>
                        </w:rPr>
                        <w:t>NL</w:t>
                      </w:r>
                    </w:p>
                  </w:txbxContent>
                </v:textbox>
                <w10:wrap anchorx="page" anchory="page"/>
              </v:shape>
            </w:pict>
          </mc:Fallback>
        </mc:AlternateContent>
      </w:r>
    </w:p>
    <w:p w:rsidR="0072285A" w:rsidRPr="003814FB" w:rsidRDefault="00C34231">
      <w:pPr>
        <w:jc w:val="center"/>
        <w:rPr>
          <w:b/>
          <w:sz w:val="36"/>
          <w:u w:val="single"/>
        </w:rPr>
      </w:pPr>
      <w:r>
        <w:rPr>
          <w:b/>
          <w:sz w:val="36"/>
          <w:u w:val="single"/>
        </w:rPr>
        <w:t>Gebieden voor versterkte samenwerking tussen het Europees Comité van de Regio's (CvdR) en directoraat-generaal Werkgelegenheid, Sociale Zaken en Inclusie (DG EMPL) van de Europese Commissie</w:t>
      </w:r>
    </w:p>
    <w:p w:rsidR="001C24E4" w:rsidRPr="003814FB" w:rsidRDefault="001C24E4">
      <w:pPr>
        <w:jc w:val="center"/>
        <w:rPr>
          <w:b/>
          <w:sz w:val="36"/>
          <w:szCs w:val="36"/>
          <w:u w:val="single"/>
          <w:lang w:val="en-GB"/>
        </w:rPr>
      </w:pPr>
    </w:p>
    <w:p w:rsidR="009521C5" w:rsidRPr="007D6282" w:rsidRDefault="009521C5" w:rsidP="007D6282">
      <w:pPr>
        <w:pStyle w:val="Heading1"/>
        <w:numPr>
          <w:ilvl w:val="0"/>
          <w:numId w:val="22"/>
        </w:numPr>
        <w:ind w:left="567" w:hanging="567"/>
        <w:rPr>
          <w:rFonts w:ascii="Times New Roman" w:hAnsi="Times New Roman"/>
          <w:b/>
          <w:color w:val="auto"/>
          <w:sz w:val="24"/>
        </w:rPr>
      </w:pPr>
      <w:r>
        <w:rPr>
          <w:rFonts w:ascii="Times New Roman" w:hAnsi="Times New Roman"/>
          <w:b/>
          <w:color w:val="auto"/>
          <w:sz w:val="24"/>
        </w:rPr>
        <w:t>Inleiding</w:t>
      </w:r>
    </w:p>
    <w:p w:rsidR="00014693" w:rsidRPr="007D6282" w:rsidRDefault="00014693" w:rsidP="00472368">
      <w:pPr>
        <w:jc w:val="both"/>
        <w:rPr>
          <w:sz w:val="24"/>
          <w:szCs w:val="24"/>
          <w:lang w:val="en-GB"/>
        </w:rPr>
      </w:pPr>
    </w:p>
    <w:p w:rsidR="00014E6A" w:rsidRPr="007D6282" w:rsidRDefault="00C82EBC" w:rsidP="00472368">
      <w:pPr>
        <w:jc w:val="both"/>
        <w:rPr>
          <w:color w:val="000000"/>
        </w:rPr>
      </w:pPr>
      <w:r>
        <w:t>Ook vóór de COVID-19-crisis was reeds duidelijk dat een “sociaal Europa” van cruciaal belang is voor de bijdrage van de EU aan democratische, samenhangende, cultureel diverse en welvarende samenlevingen. Het staat voor economische en sociale vooruitgang, de bestrijding van discriminatie en sociale uitsluiting, het uitrusten van de Europeanen met de vaardigheden om deel te nemen aan de arbeidsmarkt en hen in staat stellen om een bevredigend leven te leiden.</w:t>
      </w:r>
      <w:r w:rsidR="00014E6A" w:rsidRPr="007D6282">
        <w:rPr>
          <w:rStyle w:val="FootnoteReference"/>
          <w:lang w:val="en-GB"/>
        </w:rPr>
        <w:footnoteReference w:id="2"/>
      </w:r>
    </w:p>
    <w:p w:rsidR="00014E6A" w:rsidRPr="007D6282" w:rsidRDefault="00014E6A" w:rsidP="00472368">
      <w:pPr>
        <w:jc w:val="both"/>
        <w:rPr>
          <w:color w:val="000000"/>
          <w:lang w:val="en-GB"/>
        </w:rPr>
      </w:pPr>
    </w:p>
    <w:p w:rsidR="00014E6A" w:rsidRPr="003814FB" w:rsidRDefault="00014E6A" w:rsidP="00472368">
      <w:pPr>
        <w:jc w:val="both"/>
      </w:pPr>
      <w:r>
        <w:t>Hoewel het Europees Comité van de Regio’s (CvdR) en directoraat-generaal Werkgelegenheid, Sociale Zaken en Inclusie (DG EMPL) in het verleden reeds op verschillende vlakken hebben samengewerkt, is duidelijk dat de uitdagingen die ons wachten en de sterke belangstelling van de bevoegde commissaris kansen bieden om de samenwerking tussen de Commissie en het CvdR op dit gebied n</w:t>
      </w:r>
      <w:r w:rsidR="00B102D3">
        <w:t>aar een hoger niveau te tillen.</w:t>
      </w:r>
    </w:p>
    <w:p w:rsidR="00014E6A" w:rsidRPr="003814FB" w:rsidRDefault="00014E6A" w:rsidP="00472368">
      <w:pPr>
        <w:jc w:val="both"/>
        <w:rPr>
          <w:lang w:val="en-GB"/>
        </w:rPr>
      </w:pPr>
    </w:p>
    <w:p w:rsidR="00014E6A" w:rsidRPr="007D6282" w:rsidRDefault="00014E6A" w:rsidP="00472368">
      <w:pPr>
        <w:pStyle w:val="ListParagraph"/>
        <w:numPr>
          <w:ilvl w:val="0"/>
          <w:numId w:val="26"/>
        </w:numPr>
        <w:ind w:left="360"/>
        <w:jc w:val="both"/>
      </w:pPr>
      <w:r>
        <w:rPr>
          <w:rFonts w:ascii="Times New Roman" w:hAnsi="Times New Roman"/>
        </w:rPr>
        <w:t>Commissaris Schmit heeft grote belangstelling getoond voor het CvdR: in minder dan een jaar tijd nam hij reeds deel aan twee voltallige vergaderingen en aan een vergadering van de commissie Sociaal Beleid, Onderwijs, Werkgelegenheid</w:t>
      </w:r>
      <w:r w:rsidR="00B102D3">
        <w:rPr>
          <w:rFonts w:ascii="Times New Roman" w:hAnsi="Times New Roman"/>
        </w:rPr>
        <w:t>, Onderzoek en Cultuur (SEDEC).</w:t>
      </w:r>
    </w:p>
    <w:p w:rsidR="00164C40" w:rsidRPr="007D6282" w:rsidRDefault="00164C40" w:rsidP="00472368">
      <w:pPr>
        <w:pStyle w:val="ListParagraph"/>
        <w:numPr>
          <w:ilvl w:val="0"/>
          <w:numId w:val="26"/>
        </w:numPr>
        <w:ind w:left="360"/>
        <w:jc w:val="both"/>
      </w:pPr>
      <w:r>
        <w:rPr>
          <w:rFonts w:ascii="Times New Roman" w:hAnsi="Times New Roman"/>
        </w:rPr>
        <w:t xml:space="preserve">Joost Korte (directeur-generaal van DG EMPL) woonde in februari 2020 de SEDEC-vergadering bij, waar hij de leden van het CvdR toesprak en hen ertoe aanmoedigde om feedback te geven, </w:t>
      </w:r>
      <w:r>
        <w:rPr>
          <w:rFonts w:ascii="Times New Roman" w:hAnsi="Times New Roman"/>
        </w:rPr>
        <w:lastRenderedPageBreak/>
        <w:t>zoals gevraagd in de mededeling van de Commissie over een sterk sociaal Europa voor rechtvaardige transities (SEDEC werkt reeds aan een advies hieromtrent).</w:t>
      </w:r>
    </w:p>
    <w:p w:rsidR="00164C40" w:rsidRPr="007D6282" w:rsidRDefault="00164C40" w:rsidP="00472368">
      <w:pPr>
        <w:pStyle w:val="ListParagraph"/>
        <w:numPr>
          <w:ilvl w:val="0"/>
          <w:numId w:val="26"/>
        </w:numPr>
        <w:ind w:left="360"/>
        <w:jc w:val="both"/>
      </w:pPr>
      <w:r>
        <w:rPr>
          <w:rFonts w:ascii="Times New Roman" w:hAnsi="Times New Roman"/>
        </w:rPr>
        <w:t>Zowel de commissaris als de directeur-generaal hebben duidelijk aangegeven dat zij van het CvdR verwachten dat het actief deelneemt aan de voorbereiding van de sociale top in Porto (mei 2021) en aan het actieplan voor de uitvoering van de Europese pijler van sociale rechten (EPSR).</w:t>
      </w:r>
    </w:p>
    <w:p w:rsidR="006A6308" w:rsidRPr="007D6282" w:rsidRDefault="006A6308" w:rsidP="00472368">
      <w:pPr>
        <w:pStyle w:val="ListParagraph"/>
        <w:numPr>
          <w:ilvl w:val="0"/>
          <w:numId w:val="26"/>
        </w:numPr>
        <w:ind w:left="360"/>
        <w:jc w:val="both"/>
      </w:pPr>
      <w:r>
        <w:rPr>
          <w:rFonts w:ascii="Times New Roman" w:hAnsi="Times New Roman"/>
        </w:rPr>
        <w:t>De geest van wederzijdse samenwerking werd verder bevorderd tijdens de bijeenkomst van de commissaris en de voorzitter van het CvdR (9 juli), waar werd bevestigd dat beide instellingen op zoek moeten gaan naar meer gelegenheden om samen te werken.</w:t>
      </w:r>
    </w:p>
    <w:p w:rsidR="00864E4E" w:rsidRPr="003814FB" w:rsidRDefault="00864E4E" w:rsidP="00472368">
      <w:pPr>
        <w:jc w:val="both"/>
      </w:pPr>
      <w:r>
        <w:t>In het protocol betreffende de samenwerking tussen de Europese Commissie en het Comité van de Regio’s (2012/C 102/02)</w:t>
      </w:r>
      <w:r w:rsidRPr="007D6282">
        <w:rPr>
          <w:lang w:val="en-GB"/>
        </w:rPr>
        <w:footnoteReference w:id="3"/>
      </w:r>
      <w:r>
        <w:t xml:space="preserve"> hebben de Commissie en het CvdR afgesproken om hun samenwerking te intensiveren. In de gezamenlijke nota van het CvdR en DG EMPL zijn de beleidsterreinen voor nauwere samenwerking en de belangrijkste instrumenten uiteengezet.</w:t>
      </w:r>
    </w:p>
    <w:p w:rsidR="003D208F" w:rsidRPr="003814FB" w:rsidRDefault="003D208F" w:rsidP="00472368">
      <w:pPr>
        <w:jc w:val="both"/>
        <w:rPr>
          <w:lang w:val="en-GB"/>
        </w:rPr>
      </w:pPr>
    </w:p>
    <w:p w:rsidR="00EB524C" w:rsidRPr="007D6282" w:rsidRDefault="00EA2779" w:rsidP="00472368">
      <w:pPr>
        <w:pStyle w:val="Heading1"/>
        <w:numPr>
          <w:ilvl w:val="0"/>
          <w:numId w:val="22"/>
        </w:numPr>
        <w:spacing w:before="0"/>
        <w:ind w:left="567" w:hanging="567"/>
        <w:jc w:val="both"/>
        <w:rPr>
          <w:rFonts w:ascii="Times New Roman" w:hAnsi="Times New Roman"/>
          <w:b/>
          <w:color w:val="auto"/>
          <w:sz w:val="24"/>
        </w:rPr>
      </w:pPr>
      <w:r>
        <w:rPr>
          <w:rFonts w:ascii="Times New Roman" w:hAnsi="Times New Roman"/>
          <w:b/>
          <w:color w:val="auto"/>
          <w:sz w:val="24"/>
        </w:rPr>
        <w:t>Belangrijkste thema’s voor nauwere samenwerking tussen het CvdR en DG EMPL</w:t>
      </w:r>
    </w:p>
    <w:p w:rsidR="004D765D" w:rsidRPr="003814FB" w:rsidRDefault="004D765D" w:rsidP="00472368">
      <w:pPr>
        <w:keepNext/>
        <w:jc w:val="both"/>
        <w:rPr>
          <w:lang w:val="en-GB"/>
        </w:rPr>
      </w:pPr>
    </w:p>
    <w:p w:rsidR="00964812" w:rsidRPr="007D6282" w:rsidRDefault="008E118B" w:rsidP="00472368">
      <w:pPr>
        <w:jc w:val="both"/>
      </w:pPr>
      <w:r>
        <w:t>Gezien het brede scala aan thema’s die verband houden met de sociale dimensie, en rekening houdend met de beschikbare middelen, is het belangrijk om de nauwere samenwerking toe te spitsen op gebieden waarop het CvdR een duidelijke meerwaarde kan betekenen en waarop de territoriale dimensie het sterkst is. Dit moet echter niet beletten om op andere gebieden samen te werken, met name aan het bevorderen van de sociale economie. De gebieden voor nauwere samenwerking luiden daarom als volgt:</w:t>
      </w:r>
    </w:p>
    <w:p w:rsidR="003D208F" w:rsidRPr="007D6282" w:rsidRDefault="003D208F" w:rsidP="00472368">
      <w:pPr>
        <w:jc w:val="both"/>
        <w:rPr>
          <w:lang w:val="en-GB"/>
        </w:rPr>
      </w:pPr>
    </w:p>
    <w:p w:rsidR="00EA2779" w:rsidRPr="007D6282" w:rsidRDefault="00EA2779" w:rsidP="00472368">
      <w:pPr>
        <w:pStyle w:val="Heading2"/>
        <w:jc w:val="both"/>
        <w:rPr>
          <w:rFonts w:asciiTheme="majorHAnsi" w:hAnsiTheme="majorHAnsi"/>
          <w:color w:val="365F91" w:themeColor="accent1" w:themeShade="BF"/>
        </w:rPr>
      </w:pPr>
      <w:r>
        <w:rPr>
          <w:rFonts w:ascii="Times New Roman" w:hAnsi="Times New Roman"/>
          <w:b/>
          <w:sz w:val="24"/>
          <w:szCs w:val="24"/>
        </w:rPr>
        <w:t>2.1.</w:t>
      </w:r>
      <w:r>
        <w:tab/>
      </w:r>
      <w:r>
        <w:rPr>
          <w:rFonts w:ascii="Times New Roman" w:hAnsi="Times New Roman"/>
          <w:b/>
          <w:sz w:val="24"/>
          <w:szCs w:val="32"/>
        </w:rPr>
        <w:t>De Europese pijler van sociale rechten</w:t>
      </w:r>
    </w:p>
    <w:p w:rsidR="00EA2779" w:rsidRPr="007D6282" w:rsidRDefault="00EA2779" w:rsidP="00472368">
      <w:pPr>
        <w:jc w:val="both"/>
        <w:rPr>
          <w:b/>
          <w:u w:val="single"/>
          <w:lang w:val="en-GB"/>
        </w:rPr>
      </w:pPr>
    </w:p>
    <w:p w:rsidR="005366D6" w:rsidRPr="007D6282" w:rsidRDefault="005366D6" w:rsidP="00472368">
      <w:pPr>
        <w:jc w:val="both"/>
        <w:rPr>
          <w:szCs w:val="24"/>
        </w:rPr>
      </w:pPr>
      <w:r>
        <w:t>De Europese pijler van sociale rechten is een consensueel document dat weerspiegelt waar de Unie voor staat op het gebied van werkgelegenheid en sociale zaken.</w:t>
      </w:r>
      <w:r>
        <w:rPr>
          <w:i/>
          <w:szCs w:val="24"/>
        </w:rPr>
        <w:t xml:space="preserve"> </w:t>
      </w:r>
      <w:r>
        <w:t>Het is afgekondigd op het hoogste politieke niveau en heeft reeds verstrekkende maatregelen op Europees, nationaal, regionaal en lokaal niveau tot stand gebracht om de sociale dimensie van de EU te versterken. Met haar mededeling van 27 mei 2020 heeft de Commissie de Europese pijler van sociale rechten ook een centrale plaats toebedeeld in haar stappenplan naar een billijk, inclusief herstel na de COVID-19-crisis.</w:t>
      </w:r>
    </w:p>
    <w:p w:rsidR="005366D6" w:rsidRPr="007D6282" w:rsidRDefault="005366D6" w:rsidP="00472368">
      <w:pPr>
        <w:jc w:val="both"/>
        <w:rPr>
          <w:szCs w:val="24"/>
          <w:lang w:val="en-GB" w:eastAsia="fr-BE"/>
        </w:rPr>
      </w:pPr>
    </w:p>
    <w:p w:rsidR="005366D6" w:rsidRPr="007D6282" w:rsidRDefault="005366D6" w:rsidP="00472368">
      <w:pPr>
        <w:jc w:val="both"/>
        <w:rPr>
          <w:szCs w:val="24"/>
        </w:rPr>
      </w:pPr>
      <w:r>
        <w:t>In de strategische agenda voor 2019-2024, die in juni 2019 door de Europese Raad werd overeengekomen, wordt ertoe opgeroepen om de pijler op EU-niveau en op het niveau van de lidstaten ten uitvoer te leggen, met inachtneming van de res</w:t>
      </w:r>
      <w:r w:rsidR="00B102D3">
        <w:t>pectieve bevoegdheden.</w:t>
      </w:r>
    </w:p>
    <w:p w:rsidR="003D208F" w:rsidRPr="007D6282" w:rsidRDefault="003D208F" w:rsidP="00472368">
      <w:pPr>
        <w:jc w:val="both"/>
        <w:rPr>
          <w:szCs w:val="24"/>
          <w:lang w:val="en-GB" w:eastAsia="en-GB"/>
        </w:rPr>
      </w:pPr>
    </w:p>
    <w:p w:rsidR="005366D6" w:rsidRPr="007D6282" w:rsidRDefault="005366D6" w:rsidP="00472368">
      <w:pPr>
        <w:jc w:val="both"/>
        <w:rPr>
          <w:szCs w:val="24"/>
        </w:rPr>
      </w:pPr>
      <w:r>
        <w:lastRenderedPageBreak/>
        <w:t>De politieke richtsnoeren voor de Commissie van voorzitter von der Leyen bevatten de belofte om een actieplan in te dienen voor de volledige uitvoering van de Europese pijler van sociale rechten. In de mededeling van de Commissie van 14 januari 2020 over een sterk sociaal Europa voor rechtvaardige transities werd een aantal kernacties voor 2020 en 2021 voorgesteld en werd een breed raadplegings- en activeringsproces gestart om input te verzamelen voor de voorbereidingen van het actieplan. De behoefte aan sociale ondersteuning en bescherming tijdens de huidige COVID-19-pandemie is nog acuter, nu de socialezekerheidsstelsels van de lidstaten onder enorme druk staan en het sociale weefsel van de EU uit elkaar dreigt te vallen.</w:t>
      </w:r>
    </w:p>
    <w:p w:rsidR="005366D6" w:rsidRPr="007D6282" w:rsidRDefault="005366D6" w:rsidP="00472368">
      <w:pPr>
        <w:jc w:val="both"/>
        <w:rPr>
          <w:szCs w:val="24"/>
          <w:lang w:val="en-GB" w:eastAsia="en-GB"/>
        </w:rPr>
      </w:pPr>
    </w:p>
    <w:p w:rsidR="005366D6" w:rsidRPr="007D6282" w:rsidRDefault="005366D6" w:rsidP="00472368">
      <w:pPr>
        <w:autoSpaceDE w:val="0"/>
        <w:autoSpaceDN w:val="0"/>
        <w:adjustRightInd w:val="0"/>
        <w:jc w:val="both"/>
        <w:rPr>
          <w:szCs w:val="24"/>
        </w:rPr>
      </w:pPr>
      <w:r>
        <w:t>De Commissie beoogt begin 2021 met het actieplan te komen en het op het hoogste politieke niveau te laten bekrachtigen tijdens de sociale top die in mei 2021 door het Portugese voorzitterschap van de</w:t>
      </w:r>
      <w:r w:rsidR="00B102D3">
        <w:t xml:space="preserve"> Raad zal worden georganiseerd.</w:t>
      </w:r>
    </w:p>
    <w:p w:rsidR="00CE0C02" w:rsidRPr="007D6282" w:rsidRDefault="00CE0C02" w:rsidP="00472368">
      <w:pPr>
        <w:jc w:val="both"/>
        <w:rPr>
          <w:bCs/>
          <w:u w:val="single"/>
          <w:lang w:val="en-GB"/>
        </w:rPr>
      </w:pPr>
    </w:p>
    <w:p w:rsidR="00EA2779" w:rsidRPr="007D6282" w:rsidRDefault="00B40809" w:rsidP="00472368">
      <w:pPr>
        <w:jc w:val="both"/>
        <w:rPr>
          <w:bCs/>
        </w:rPr>
      </w:pPr>
      <w:r>
        <w:t>Het spreekt voor zich dat de lokale en regionale overheden een belangrijke rol spelen in de opzet en uitvoering van het werkgelegenheids- en sociaal beleid in de EU. De verschillende regio's zijn op zeer uiteenlopende wijze getroffen door de COVID-19-crisis, afhankelijk van hun economische structuur en hun blootstelling aan gezondheidsrisico’s. Lokale en regionale overheden kunnen helpen bij het bedenken en ten uitvoer leggen van een respons op de crisis die ook inspeelt op de uitdagingen voor de sociale en territoriale cohesie vóór en na de crisis. Het is dan ook noodzakelijk om de lokale en regionale overheden te betrekken, in het bijzonder via:</w:t>
      </w:r>
    </w:p>
    <w:p w:rsidR="00CB78E1" w:rsidRPr="007D6282" w:rsidRDefault="00CB78E1" w:rsidP="00472368">
      <w:pPr>
        <w:jc w:val="both"/>
        <w:rPr>
          <w:bCs/>
          <w:u w:val="single"/>
          <w:lang w:val="en-GB"/>
        </w:rPr>
      </w:pPr>
    </w:p>
    <w:p w:rsidR="00CB78E1" w:rsidRPr="007D6282" w:rsidRDefault="00F771E0" w:rsidP="00472368">
      <w:pPr>
        <w:pStyle w:val="ListParagraph"/>
        <w:numPr>
          <w:ilvl w:val="0"/>
          <w:numId w:val="19"/>
        </w:numPr>
        <w:spacing w:after="0" w:line="288" w:lineRule="auto"/>
        <w:ind w:left="360"/>
        <w:jc w:val="both"/>
      </w:pPr>
      <w:r>
        <w:rPr>
          <w:rFonts w:ascii="Times New Roman" w:hAnsi="Times New Roman"/>
        </w:rPr>
        <w:t>het advies van het CvdR over een sterk sociaal Europa voor rechtvaardige transities (rapporteur Anne Karjalainen (FI/PSE) – goedkeuring tijdens de zitting van oktober 2020), als globale reactie van het CvdR op de mededeling van de Commissie;</w:t>
      </w:r>
    </w:p>
    <w:p w:rsidR="00421A56" w:rsidRPr="007D6282" w:rsidRDefault="00421A56" w:rsidP="00472368">
      <w:pPr>
        <w:pStyle w:val="ListParagraph"/>
        <w:spacing w:after="0" w:line="288" w:lineRule="auto"/>
        <w:ind w:left="360"/>
        <w:jc w:val="both"/>
        <w:rPr>
          <w:bCs/>
        </w:rPr>
      </w:pPr>
    </w:p>
    <w:p w:rsidR="00176CAE" w:rsidRPr="007D6282" w:rsidRDefault="00176CAE" w:rsidP="00472368">
      <w:pPr>
        <w:pStyle w:val="ListParagraph"/>
        <w:numPr>
          <w:ilvl w:val="0"/>
          <w:numId w:val="19"/>
        </w:numPr>
        <w:spacing w:after="0" w:line="288" w:lineRule="auto"/>
        <w:ind w:left="360"/>
        <w:jc w:val="both"/>
      </w:pPr>
      <w:r>
        <w:rPr>
          <w:rFonts w:ascii="Times New Roman" w:hAnsi="Times New Roman"/>
        </w:rPr>
        <w:t>het advies van het CvdR over een toekomstplan voor verplegend en verzorgend personeel – lokale en regionale kansen voor een Europese uitdaging (rapporteur nog te bevestigen);</w:t>
      </w:r>
    </w:p>
    <w:p w:rsidR="00E136C4" w:rsidRPr="007D6282" w:rsidRDefault="00E136C4" w:rsidP="00472368">
      <w:pPr>
        <w:pStyle w:val="ListParagraph"/>
        <w:spacing w:after="0" w:line="288" w:lineRule="auto"/>
        <w:ind w:left="360"/>
        <w:jc w:val="both"/>
      </w:pPr>
    </w:p>
    <w:p w:rsidR="00F771E0" w:rsidRPr="007D6282" w:rsidRDefault="00421A56" w:rsidP="00472368">
      <w:pPr>
        <w:pStyle w:val="ListParagraph"/>
        <w:numPr>
          <w:ilvl w:val="0"/>
          <w:numId w:val="19"/>
        </w:numPr>
        <w:spacing w:after="0" w:line="288" w:lineRule="auto"/>
        <w:ind w:left="360"/>
        <w:jc w:val="both"/>
      </w:pPr>
      <w:r>
        <w:rPr>
          <w:rFonts w:ascii="Times New Roman" w:hAnsi="Times New Roman"/>
        </w:rPr>
        <w:t>de sessie “sociale zekerheid voor platformwerkers – uitdagingen en kansen” van de Europese Week van regio's en steden 2020, met deelname van DG EMPL;</w:t>
      </w:r>
    </w:p>
    <w:p w:rsidR="00267B85" w:rsidRPr="007D6282" w:rsidRDefault="00267B85" w:rsidP="00472368">
      <w:pPr>
        <w:pStyle w:val="ListParagraph"/>
        <w:spacing w:after="0" w:line="288" w:lineRule="auto"/>
        <w:ind w:left="360"/>
        <w:jc w:val="both"/>
      </w:pPr>
    </w:p>
    <w:p w:rsidR="00512960" w:rsidRPr="007D6282" w:rsidRDefault="00F5129F" w:rsidP="00472368">
      <w:pPr>
        <w:pStyle w:val="ListParagraph"/>
        <w:numPr>
          <w:ilvl w:val="0"/>
          <w:numId w:val="19"/>
        </w:numPr>
        <w:spacing w:after="0" w:line="288" w:lineRule="auto"/>
        <w:ind w:left="360"/>
        <w:jc w:val="both"/>
        <w:rPr>
          <w:b/>
          <w:u w:val="single"/>
        </w:rPr>
      </w:pPr>
      <w:r>
        <w:rPr>
          <w:rFonts w:ascii="Times New Roman" w:hAnsi="Times New Roman"/>
        </w:rPr>
        <w:t>samen met het Portugese voorzitterschap van de Raad zullen de Commissie en het CvdR manieren verkennen om het CvdR de sociale top te laten bijwonen om de territoriale dimensie van de uitvoering van de Europese pijler van sociale rechten te weerspiegelen.</w:t>
      </w:r>
    </w:p>
    <w:p w:rsidR="00151730" w:rsidRPr="007D6282" w:rsidRDefault="00151730" w:rsidP="00472368">
      <w:pPr>
        <w:jc w:val="both"/>
        <w:rPr>
          <w:lang w:val="en-GB"/>
        </w:rPr>
      </w:pPr>
    </w:p>
    <w:p w:rsidR="00EA2779" w:rsidRPr="007D6282" w:rsidRDefault="00EA2779" w:rsidP="00472368">
      <w:pPr>
        <w:pStyle w:val="Heading2"/>
        <w:ind w:left="426" w:hanging="426"/>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2.2.</w:t>
      </w:r>
      <w:r>
        <w:rPr>
          <w:rFonts w:ascii="Times New Roman" w:hAnsi="Times New Roman"/>
          <w:b/>
          <w:sz w:val="24"/>
          <w:szCs w:val="24"/>
        </w:rPr>
        <w:tab/>
      </w:r>
      <w:r>
        <w:rPr>
          <w:rFonts w:ascii="Times New Roman" w:hAnsi="Times New Roman"/>
          <w:b/>
          <w:sz w:val="24"/>
          <w:szCs w:val="32"/>
        </w:rPr>
        <w:t>Voorbereiding van het Europees Sociaal Fonds Plus (ESF+) en REACT-EU om passende financiering te verstrekken voor maatregelen inzake werkgelegenheid voor jongeren</w:t>
      </w:r>
    </w:p>
    <w:p w:rsidR="00527019" w:rsidRPr="007D6282" w:rsidRDefault="00527019" w:rsidP="00472368">
      <w:pPr>
        <w:keepNext/>
        <w:jc w:val="both"/>
        <w:rPr>
          <w:lang w:val="en-GB"/>
        </w:rPr>
      </w:pPr>
    </w:p>
    <w:p w:rsidR="00527019" w:rsidRPr="007D6282" w:rsidRDefault="00527019" w:rsidP="00472368">
      <w:pPr>
        <w:jc w:val="both"/>
        <w:rPr>
          <w:bCs/>
        </w:rPr>
      </w:pPr>
      <w:r>
        <w:t xml:space="preserve">Talrijke lokale en regionale overheden zijn momenteel druk bezig met de voorbereiding van de toekomstige ESF+-programma’s en de ontwikkeling van projecten die ESF+-financiering kunnen krijgen. De Commissie had voorgesteld dat met het ESF+ meer financiering zou worden verstrekt </w:t>
      </w:r>
      <w:r>
        <w:lastRenderedPageBreak/>
        <w:t>voor maatregelen op het gebied van werkgelegenheid voor jongeren in lidstaten waar het percentage jongeren die geen werk hebben en geen onderwijs of opleiding volgen boven het gemiddelde van de EU ligt</w:t>
      </w:r>
      <w:r w:rsidR="006E25E8" w:rsidRPr="007D6282">
        <w:rPr>
          <w:rStyle w:val="FootnoteReference"/>
          <w:bCs/>
          <w:sz w:val="24"/>
          <w:szCs w:val="24"/>
          <w:lang w:val="en-GB"/>
        </w:rPr>
        <w:footnoteReference w:id="4"/>
      </w:r>
      <w:r>
        <w:t>. Voorts kan ook het nieuwe REACT-EU worden gebruikt om steun te verlenen voor maatregelen op het gebied van werkgelegenheid voor jongeren. Het is van essentieel belang dat de voordelen van deze aanvullende financiering worden benut, gelet op de huidige pandemie en de waarschijnlijke effecten ervan op de werkgelegenheid voor jongeren.</w:t>
      </w:r>
    </w:p>
    <w:p w:rsidR="00CB78E1" w:rsidRPr="007D6282" w:rsidRDefault="00CB78E1" w:rsidP="00472368">
      <w:pPr>
        <w:jc w:val="both"/>
        <w:rPr>
          <w:bCs/>
          <w:u w:val="single"/>
          <w:lang w:val="en-GB"/>
        </w:rPr>
      </w:pPr>
    </w:p>
    <w:p w:rsidR="00AE28C2" w:rsidRPr="007D6282" w:rsidRDefault="00F52BD7" w:rsidP="00472368">
      <w:pPr>
        <w:jc w:val="both"/>
        <w:rPr>
          <w:bCs/>
        </w:rPr>
      </w:pPr>
      <w:r>
        <w:t>Het CvdR zou de uitwisseling van informatie en beste praktijken kunnen bevorderen met betrekking tot financiering uit REACT-EU en het ESF+ om maatregelen op het gebied van werkgelegenheid voor jongeren te ondersteunen. Deze financiële steun zal bijdragen aan het algemene EU-streefdoel om minstens 22 miljard EUR aan deze doelstelling te besteden</w:t>
      </w:r>
      <w:r w:rsidR="008911F1" w:rsidRPr="007D6282">
        <w:rPr>
          <w:rStyle w:val="FootnoteReference"/>
          <w:bCs/>
          <w:sz w:val="24"/>
          <w:szCs w:val="24"/>
          <w:lang w:val="en-GB"/>
        </w:rPr>
        <w:footnoteReference w:id="5"/>
      </w:r>
      <w:r>
        <w:t xml:space="preserve"> en zal de financieringscomponent van de jongerengarantie zijn</w:t>
      </w:r>
      <w:r w:rsidR="008911F1" w:rsidRPr="007D6282">
        <w:rPr>
          <w:rStyle w:val="FootnoteReference"/>
          <w:bCs/>
          <w:sz w:val="24"/>
          <w:szCs w:val="24"/>
          <w:lang w:val="en-GB"/>
        </w:rPr>
        <w:footnoteReference w:id="6"/>
      </w:r>
      <w:r w:rsidR="00B102D3">
        <w:t>.</w:t>
      </w:r>
    </w:p>
    <w:p w:rsidR="00AE28C2" w:rsidRPr="007D6282" w:rsidRDefault="00AE28C2" w:rsidP="00472368">
      <w:pPr>
        <w:jc w:val="both"/>
        <w:rPr>
          <w:bCs/>
          <w:u w:val="single"/>
          <w:lang w:val="en-GB"/>
        </w:rPr>
      </w:pPr>
    </w:p>
    <w:p w:rsidR="006106B7" w:rsidRPr="007D6282" w:rsidRDefault="002867F1" w:rsidP="00472368">
      <w:pPr>
        <w:jc w:val="both"/>
        <w:rPr>
          <w:bCs/>
        </w:rPr>
      </w:pPr>
      <w:r>
        <w:t>In de geest van het partnerschapsbeginsel zou het CvdR de dialoog tussen de lokale en regionale overheden kunnen bevorderen bij de ontwikkeling van concepten om jeugdwerkloosheid te bestrijden in nauwe samenwerking met de sociale partners, en zou het als platform kunnen fungeren voor de uitwisseling van ideeën en beleidsl</w:t>
      </w:r>
      <w:r w:rsidR="00B102D3">
        <w:t>ijnen tussen regio’s en steden.</w:t>
      </w:r>
    </w:p>
    <w:p w:rsidR="006106B7" w:rsidRPr="007D6282" w:rsidRDefault="006106B7" w:rsidP="00472368">
      <w:pPr>
        <w:jc w:val="both"/>
        <w:rPr>
          <w:bCs/>
          <w:lang w:val="en-GB"/>
        </w:rPr>
      </w:pPr>
    </w:p>
    <w:p w:rsidR="00527019" w:rsidRPr="003814FB" w:rsidRDefault="006106B7" w:rsidP="00472368">
      <w:pPr>
        <w:jc w:val="both"/>
      </w:pPr>
      <w:r>
        <w:t>Daarmee zou het CvdR een zinvol vervolg kunnen breien aan de mededeling van de Commissie over ondersteuning van de werkgelegenheid voor jongeren – Een brug naar banen voor de volgende generatie</w:t>
      </w:r>
      <w:r w:rsidR="00150CCB" w:rsidRPr="007D6282">
        <w:rPr>
          <w:rStyle w:val="FootnoteReference"/>
          <w:sz w:val="24"/>
          <w:szCs w:val="24"/>
          <w:lang w:val="en-GB"/>
        </w:rPr>
        <w:footnoteReference w:id="7"/>
      </w:r>
      <w:r>
        <w:t xml:space="preserve"> en kunnen verdere bijeenkomsten met DG</w:t>
      </w:r>
      <w:r w:rsidR="00B102D3">
        <w:t xml:space="preserve"> EMPL en het CvdR plaatsvinden.</w:t>
      </w:r>
    </w:p>
    <w:p w:rsidR="00F165DD" w:rsidRPr="007D6282" w:rsidRDefault="00F165DD" w:rsidP="00472368">
      <w:pPr>
        <w:jc w:val="both"/>
        <w:rPr>
          <w:bCs/>
          <w:lang w:val="en-GB"/>
        </w:rPr>
      </w:pPr>
    </w:p>
    <w:p w:rsidR="00CB78E1" w:rsidRPr="007D6282" w:rsidRDefault="00CB78E1" w:rsidP="00472368">
      <w:pPr>
        <w:pStyle w:val="Heading2"/>
        <w:ind w:left="567" w:hanging="567"/>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 xml:space="preserve">2.3. </w:t>
      </w:r>
      <w:r>
        <w:rPr>
          <w:rFonts w:ascii="Times New Roman" w:hAnsi="Times New Roman"/>
          <w:b/>
          <w:sz w:val="24"/>
          <w:szCs w:val="24"/>
        </w:rPr>
        <w:tab/>
      </w:r>
      <w:r w:rsidR="00B102D3">
        <w:rPr>
          <w:rFonts w:ascii="Times New Roman" w:hAnsi="Times New Roman"/>
          <w:b/>
          <w:sz w:val="24"/>
          <w:szCs w:val="32"/>
        </w:rPr>
        <w:t>Agenda voor vaardigheden</w:t>
      </w:r>
    </w:p>
    <w:p w:rsidR="006106B7" w:rsidRPr="007D6282" w:rsidRDefault="006106B7" w:rsidP="00472368">
      <w:pPr>
        <w:keepNext/>
        <w:jc w:val="both"/>
        <w:rPr>
          <w:rFonts w:eastAsiaTheme="majorEastAsia"/>
          <w:lang w:val="en-GB"/>
        </w:rPr>
      </w:pPr>
    </w:p>
    <w:p w:rsidR="006106B7" w:rsidRPr="007D6282" w:rsidRDefault="00EE2DE9" w:rsidP="00472368">
      <w:pPr>
        <w:jc w:val="both"/>
      </w:pPr>
      <w:r>
        <w:t xml:space="preserve">Het effect van de pandemie op de manier waarop we werken en de tweeledige transitie naar een digitale en groene economie brengen een sterke paradigmaverschuiving op het gebied van vaardigheden teweeg in de EU. Het is dan ook van essentieel belang om het lokale perspectief op vaardigheden te bevorderen en te koppelen, zoals uiteengezet in de recente Europese vaardighedenagenda voor duurzaam concurrentievermogen, sociale rechtvaardigheid en </w:t>
      </w:r>
      <w:r>
        <w:lastRenderedPageBreak/>
        <w:t>veerkracht</w:t>
      </w:r>
      <w:r w:rsidR="002867F1" w:rsidRPr="007D6282">
        <w:rPr>
          <w:rStyle w:val="FootnoteReference"/>
          <w:bCs/>
          <w:sz w:val="24"/>
          <w:szCs w:val="24"/>
          <w:lang w:val="en-GB"/>
        </w:rPr>
        <w:footnoteReference w:id="8"/>
      </w:r>
      <w:r>
        <w:t>. Door op lokaal niveau te werken, is het mogelijk om de betrokkenheid van lokale partners – zoals kleine en middelgrote ondernemingen – te maximaliseren en tegelijkertijd meer inzicht te verwerven in de behoeften van de plaatselijke arbeidsmarkt en synergieën met andere lokale en regionale strategieën te verkennen. Bovendien kunnen het lokale en regionale perspectief helpen om kwalitatieve vooruitzichten en kwantitatieve voorspellingen op het gebied van vaardigheden te genereren, die zich op hun beurt kunnen ontwikkelen tot een model of methode om op vaardigheden te anticiperen, dat/die kan worden gebruikt voor het opstellen van toekomstplannen of beleid.</w:t>
      </w:r>
    </w:p>
    <w:p w:rsidR="006106B7" w:rsidRPr="007D6282" w:rsidRDefault="006106B7" w:rsidP="00472368">
      <w:pPr>
        <w:jc w:val="both"/>
        <w:rPr>
          <w:bCs/>
          <w:lang w:val="en-GB"/>
        </w:rPr>
      </w:pPr>
    </w:p>
    <w:p w:rsidR="00421A56" w:rsidRPr="007D6282" w:rsidRDefault="00150CCB" w:rsidP="00472368">
      <w:pPr>
        <w:jc w:val="both"/>
        <w:rPr>
          <w:bCs/>
        </w:rPr>
      </w:pPr>
      <w:r>
        <w:t>Toekomstige samenwerking kan worden verwezenlijkt via de volgende acties:</w:t>
      </w:r>
    </w:p>
    <w:p w:rsidR="000A7400" w:rsidRPr="007D6282" w:rsidRDefault="000A7400" w:rsidP="00472368">
      <w:pPr>
        <w:pStyle w:val="ListParagraph"/>
        <w:spacing w:after="0" w:line="288" w:lineRule="auto"/>
        <w:ind w:left="360"/>
        <w:jc w:val="both"/>
        <w:rPr>
          <w:rStyle w:val="normaltextrun"/>
        </w:rPr>
      </w:pPr>
    </w:p>
    <w:p w:rsidR="000A7400" w:rsidRPr="007D6282" w:rsidRDefault="00151730" w:rsidP="00472368">
      <w:pPr>
        <w:pStyle w:val="ListParagraph"/>
        <w:numPr>
          <w:ilvl w:val="0"/>
          <w:numId w:val="32"/>
        </w:numPr>
        <w:spacing w:after="0" w:line="288" w:lineRule="auto"/>
        <w:jc w:val="both"/>
        <w:rPr>
          <w:rStyle w:val="normaltextrun"/>
        </w:rPr>
      </w:pPr>
      <w:r>
        <w:rPr>
          <w:rStyle w:val="normaltextrun"/>
        </w:rPr>
        <w:t>de gezamenlijke bevordering van het pact voor vaardigheden, als manier voor de regio’s om partnerschappen met het bedrijfsleven en met aanbieders van opleidingen op te zetten met het oog op bij- en omscholing van de plaatselijke bevolking;</w:t>
      </w:r>
    </w:p>
    <w:p w:rsidR="000A7400" w:rsidRPr="007D6282" w:rsidRDefault="000A7400" w:rsidP="00472368">
      <w:pPr>
        <w:pStyle w:val="ListParagraph"/>
        <w:spacing w:after="0" w:line="288" w:lineRule="auto"/>
        <w:ind w:left="360"/>
        <w:jc w:val="both"/>
        <w:rPr>
          <w:rStyle w:val="normaltextrun"/>
        </w:rPr>
      </w:pPr>
    </w:p>
    <w:p w:rsidR="00421A56" w:rsidRPr="007D6282" w:rsidRDefault="000A7400" w:rsidP="00472368">
      <w:pPr>
        <w:pStyle w:val="ListParagraph"/>
        <w:numPr>
          <w:ilvl w:val="0"/>
          <w:numId w:val="32"/>
        </w:numPr>
        <w:spacing w:after="0" w:line="288" w:lineRule="auto"/>
        <w:jc w:val="both"/>
        <w:rPr>
          <w:rStyle w:val="normaltextrun"/>
        </w:rPr>
      </w:pPr>
      <w:r>
        <w:rPr>
          <w:rStyle w:val="normaltextrun"/>
        </w:rPr>
        <w:t>de samen met DG EMPL georganiseerde conferentie op hoog niveau over stageplaatsen. Deze conferentie gaat over de rol van regio’s en steden bij het aanbieden van hoogwaardige leerlingplaatsen en is vanwege COVID-19 gepland voor het voorjaar van 2021 en zal gepaard gaan met aanvullende online-evenementen rond het stappenplan, in de aanloop naar de conferentie:</w:t>
      </w:r>
    </w:p>
    <w:p w:rsidR="000A7400" w:rsidRPr="007D6282" w:rsidRDefault="000A7400" w:rsidP="00472368">
      <w:pPr>
        <w:jc w:val="both"/>
        <w:rPr>
          <w:rStyle w:val="normaltextrun"/>
          <w:lang w:val="en-GB"/>
        </w:rPr>
      </w:pPr>
    </w:p>
    <w:tbl>
      <w:tblPr>
        <w:tblW w:w="0" w:type="auto"/>
        <w:tblInd w:w="416" w:type="dxa"/>
        <w:tblCellMar>
          <w:left w:w="0" w:type="dxa"/>
          <w:right w:w="0" w:type="dxa"/>
        </w:tblCellMar>
        <w:tblLook w:val="04A0" w:firstRow="1" w:lastRow="0" w:firstColumn="1" w:lastColumn="0" w:noHBand="0" w:noVBand="1"/>
      </w:tblPr>
      <w:tblGrid>
        <w:gridCol w:w="2703"/>
        <w:gridCol w:w="3817"/>
        <w:gridCol w:w="2069"/>
      </w:tblGrid>
      <w:tr w:rsidR="00873D31">
        <w:tc>
          <w:tcPr>
            <w:tcW w:w="2703" w:type="dxa"/>
            <w:tcBorders>
              <w:top w:val="single" w:sz="8" w:space="0" w:color="auto"/>
              <w:left w:val="single" w:sz="8" w:space="0" w:color="auto"/>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rsidP="00472368">
            <w:pPr>
              <w:jc w:val="both"/>
              <w:rPr>
                <w:b/>
                <w:bCs/>
                <w:color w:val="FFFFFF"/>
              </w:rPr>
            </w:pPr>
            <w:r>
              <w:rPr>
                <w:b/>
                <w:bCs/>
                <w:color w:val="FFFFFF"/>
              </w:rPr>
              <w:t>Datum</w:t>
            </w:r>
          </w:p>
        </w:tc>
        <w:tc>
          <w:tcPr>
            <w:tcW w:w="3817"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rsidP="00472368">
            <w:pPr>
              <w:jc w:val="both"/>
              <w:rPr>
                <w:rFonts w:ascii="Calibri" w:hAnsi="Calibri" w:cs="Calibri"/>
                <w:b/>
                <w:bCs/>
                <w:color w:val="FFFFFF"/>
              </w:rPr>
            </w:pPr>
            <w:r>
              <w:rPr>
                <w:b/>
                <w:bCs/>
                <w:color w:val="FFFFFF"/>
              </w:rPr>
              <w:t>Webinars/conferentie</w:t>
            </w:r>
          </w:p>
        </w:tc>
        <w:tc>
          <w:tcPr>
            <w:tcW w:w="2069"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rsidP="00472368">
            <w:pPr>
              <w:jc w:val="both"/>
              <w:rPr>
                <w:b/>
                <w:bCs/>
                <w:color w:val="FFFFFF"/>
              </w:rPr>
            </w:pPr>
            <w:r>
              <w:rPr>
                <w:b/>
                <w:bCs/>
                <w:color w:val="FFFFFF"/>
              </w:rPr>
              <w:t>Onderwerp</w:t>
            </w:r>
          </w:p>
        </w:tc>
      </w:tr>
      <w:tr w:rsidR="00873D31">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sidP="00472368">
            <w:pPr>
              <w:jc w:val="both"/>
            </w:pPr>
            <w:r>
              <w:t>Dinsdag 29 september 2020</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472368">
            <w:pPr>
              <w:jc w:val="both"/>
            </w:pPr>
            <w:r>
              <w:t>Eerste onlinewebinar over het effect van COVID-19 op leerlingplaatsen.</w:t>
            </w:r>
            <w:r>
              <w:rPr>
                <w:i/>
                <w:iCs/>
              </w:rPr>
              <w:t xml:space="preserve"> </w:t>
            </w:r>
            <w:r>
              <w:rPr>
                <w:iCs/>
              </w:rPr>
              <w:t>De rol van de regio’s en steden</w:t>
            </w:r>
            <w:r>
              <w:t xml:space="preserve"> </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472368">
            <w:pPr>
              <w:jc w:val="both"/>
            </w:pPr>
            <w:r>
              <w:t>Nadruk op de respons op COVID-19</w:t>
            </w:r>
          </w:p>
        </w:tc>
      </w:tr>
      <w:tr w:rsidR="00873D31">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sidP="00472368">
            <w:pPr>
              <w:jc w:val="both"/>
            </w:pPr>
            <w:r>
              <w:t>Januari/februari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472368">
            <w:pPr>
              <w:jc w:val="both"/>
            </w:pPr>
            <w:r>
              <w:t>Tweede onlinewebinar over de tweeledige transitie: de rol van steden bij het aanbieden van hoogwaardige leerlingplaatsen</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472368">
            <w:pPr>
              <w:jc w:val="both"/>
            </w:pPr>
            <w:r>
              <w:t>Nadruk op de tweeledige groene en digitale transitie</w:t>
            </w:r>
          </w:p>
        </w:tc>
      </w:tr>
      <w:tr w:rsidR="00873D31">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sidP="00472368">
            <w:pPr>
              <w:jc w:val="both"/>
            </w:pPr>
            <w:r>
              <w:t>Maart/april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472368">
            <w:pPr>
              <w:jc w:val="both"/>
            </w:pPr>
            <w:r>
              <w:t>Derde onlinewebinar over de tweeledige transitie: de rol van regio’s bij het aanbieden van hoogwaardige leerlingplaatsen</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472368">
            <w:pPr>
              <w:jc w:val="both"/>
            </w:pPr>
            <w:r>
              <w:t xml:space="preserve">Nadruk op de tweeledige groene en digitale transitie </w:t>
            </w:r>
          </w:p>
        </w:tc>
      </w:tr>
      <w:tr w:rsidR="00873D31">
        <w:tc>
          <w:tcPr>
            <w:tcW w:w="2703"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sidP="00472368">
            <w:pPr>
              <w:jc w:val="both"/>
            </w:pPr>
            <w:r>
              <w:t>3-4 juni 2021 (o.v.)</w:t>
            </w:r>
          </w:p>
        </w:tc>
        <w:tc>
          <w:tcPr>
            <w:tcW w:w="3817"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sidP="00472368">
            <w:pPr>
              <w:jc w:val="both"/>
            </w:pPr>
            <w:r>
              <w:t xml:space="preserve">Hoofdconferentie </w:t>
            </w:r>
          </w:p>
        </w:tc>
        <w:tc>
          <w:tcPr>
            <w:tcW w:w="2069"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sidP="00472368">
            <w:pPr>
              <w:jc w:val="both"/>
            </w:pPr>
            <w:r>
              <w:t>N.t.b.</w:t>
            </w:r>
          </w:p>
        </w:tc>
      </w:tr>
      <w:tr w:rsidR="00873D31">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sidP="00472368">
            <w:pPr>
              <w:jc w:val="both"/>
            </w:pPr>
            <w:r>
              <w:t>N.t.b.</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472368">
            <w:pPr>
              <w:jc w:val="both"/>
            </w:pPr>
            <w:r>
              <w:t>Follow-upvergaderingen (online)</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472368">
            <w:pPr>
              <w:jc w:val="both"/>
            </w:pPr>
            <w:r>
              <w:t>N.t.b.</w:t>
            </w:r>
          </w:p>
        </w:tc>
      </w:tr>
    </w:tbl>
    <w:p w:rsidR="002D435E" w:rsidRPr="007D6282" w:rsidRDefault="002D435E" w:rsidP="00472368">
      <w:pPr>
        <w:pStyle w:val="ListParagraph"/>
        <w:spacing w:after="0" w:line="288" w:lineRule="auto"/>
        <w:ind w:left="360"/>
        <w:jc w:val="both"/>
        <w:rPr>
          <w:rStyle w:val="normaltextrun"/>
        </w:rPr>
      </w:pPr>
    </w:p>
    <w:p w:rsidR="002D435E" w:rsidRPr="007D6282" w:rsidRDefault="00151730" w:rsidP="00472368">
      <w:pPr>
        <w:pStyle w:val="ListParagraph"/>
        <w:numPr>
          <w:ilvl w:val="0"/>
          <w:numId w:val="32"/>
        </w:numPr>
        <w:spacing w:after="0" w:line="288" w:lineRule="auto"/>
        <w:jc w:val="both"/>
        <w:rPr>
          <w:rFonts w:ascii="Times New Roman" w:hAnsi="Times New Roman" w:cs="Times New Roman"/>
        </w:rPr>
      </w:pPr>
      <w:r>
        <w:lastRenderedPageBreak/>
        <w:t>verdere samenwerking zal worden ontwikkeld als onderdeel van de voorbereidingen van het advies over de Europese vaardighedenagenda voor duurzaam concurrentievermogen, sociale rechtvaardigheid en veerkracht (rapporteur Csaba Borboly, RO/EVP);</w:t>
      </w:r>
    </w:p>
    <w:p w:rsidR="00F165DD" w:rsidRPr="007D6282" w:rsidRDefault="00F165DD" w:rsidP="00472368">
      <w:pPr>
        <w:pStyle w:val="ListParagraph"/>
        <w:spacing w:after="0" w:line="288" w:lineRule="auto"/>
        <w:ind w:left="360"/>
        <w:jc w:val="both"/>
      </w:pPr>
    </w:p>
    <w:p w:rsidR="00176CAE" w:rsidRPr="007D6282" w:rsidRDefault="00151730" w:rsidP="00472368">
      <w:pPr>
        <w:pStyle w:val="ListParagraph"/>
        <w:numPr>
          <w:ilvl w:val="0"/>
          <w:numId w:val="32"/>
        </w:numPr>
        <w:spacing w:after="0" w:line="288" w:lineRule="auto"/>
        <w:jc w:val="both"/>
        <w:rPr>
          <w:rFonts w:ascii="Times New Roman" w:hAnsi="Times New Roman" w:cs="Times New Roman"/>
        </w:rPr>
      </w:pPr>
      <w:r>
        <w:t>samenwerking rond de Europese Alliantie voor leerlingplaatsen (EAfA).</w:t>
      </w:r>
      <w:r>
        <w:rPr>
          <w:rFonts w:ascii="Times New Roman" w:hAnsi="Times New Roman"/>
        </w:rPr>
        <w:t xml:space="preserve"> Het CvdR en EAfA zouden verder kunnen werken aan een van de prioriteiten van de vernieuwde EAfA, het “mobiliseren van lokale en regionale overheden als katalysatoren voor leerlingplaatsen in het plaatselijke ondernemingsklimaat”. Een voorbeeld hiervan is de deelname van het nieuwe Netwerk van Steden voor leerlingplaatsen aan de gezamenlijke webinars van EAfA/CvdR. Een van de belangrijkste doelstellingen van het netwerk zal zijn om meer bewustzijn te creëren over het potentieel van steden om leerlingplaatsen te ondersteunen. Via het netwerk zullen steden uiteindelijk van elkaar kunnen leren en kunnen samenwerken, instrumenten kunnen ontwikkelen, goede praktijken kunnen delen en technische en beleidsbijstan</w:t>
      </w:r>
      <w:r w:rsidR="00B102D3">
        <w:rPr>
          <w:rFonts w:ascii="Times New Roman" w:hAnsi="Times New Roman"/>
        </w:rPr>
        <w:t>d kunnen bieden en ontvangen.</w:t>
      </w:r>
    </w:p>
    <w:p w:rsidR="00C34231" w:rsidRPr="003814FB" w:rsidRDefault="00C34231" w:rsidP="00472368">
      <w:pPr>
        <w:jc w:val="both"/>
        <w:rPr>
          <w:rFonts w:eastAsiaTheme="majorEastAsia"/>
          <w:lang w:val="en-GB"/>
        </w:rPr>
      </w:pPr>
    </w:p>
    <w:p w:rsidR="003D64D4" w:rsidRPr="007D6282" w:rsidRDefault="00025C0A" w:rsidP="00472368">
      <w:pPr>
        <w:pStyle w:val="Heading2"/>
        <w:ind w:left="567" w:hanging="567"/>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 xml:space="preserve">2.4. </w:t>
      </w:r>
      <w:r>
        <w:rPr>
          <w:rFonts w:ascii="Times New Roman" w:hAnsi="Times New Roman"/>
          <w:b/>
          <w:sz w:val="24"/>
          <w:szCs w:val="24"/>
        </w:rPr>
        <w:tab/>
      </w:r>
      <w:r>
        <w:rPr>
          <w:rFonts w:ascii="Times New Roman" w:hAnsi="Times New Roman"/>
          <w:b/>
          <w:sz w:val="24"/>
          <w:szCs w:val="32"/>
        </w:rPr>
        <w:t>Door de EU gesteunde “Europese lokale banenbeurzen” om de plaatselijke werkgelegenheid te ondersteunen</w:t>
      </w:r>
    </w:p>
    <w:p w:rsidR="00CE5349" w:rsidRPr="007D6282" w:rsidRDefault="00CE5349" w:rsidP="00472368">
      <w:pPr>
        <w:keepNext/>
        <w:jc w:val="both"/>
        <w:rPr>
          <w:lang w:val="en-GB"/>
        </w:rPr>
      </w:pPr>
    </w:p>
    <w:p w:rsidR="00CC2877" w:rsidRPr="003814FB" w:rsidRDefault="00394636" w:rsidP="00472368">
      <w:pPr>
        <w:jc w:val="both"/>
      </w:pPr>
      <w:r>
        <w:t>Om banen en vaardigheden beter op elkaar te laten aansluiten, is afgesproken om de mogelijkheden te verkennen om samen “Europese lokale banenbeurzen” te organiseren in heel Europa. Thessaloniki zou zich kandidaat kunnen stellen om zo snel mogelijk een dergelijke “Europese lokale banenbeurs” te ontvangen. Een dergelijk evenement zou als model kunnen dienen voor soortgelijke evenementen in andere EU-regio’s. Het CvdR en DG EMPL zullen samenwerken aan het concept en de uitvoering, waarbij de opzet, partners, financiering enzovoort afzonderlij</w:t>
      </w:r>
      <w:r w:rsidR="00B102D3">
        <w:t>k moeten worden overeengekomen.</w:t>
      </w:r>
    </w:p>
    <w:p w:rsidR="00FE1A83" w:rsidRPr="003814FB" w:rsidRDefault="00FE1A83" w:rsidP="00472368">
      <w:pPr>
        <w:jc w:val="both"/>
        <w:rPr>
          <w:lang w:val="en-GB"/>
        </w:rPr>
      </w:pPr>
    </w:p>
    <w:p w:rsidR="00DC5206" w:rsidRPr="007D6282" w:rsidRDefault="00455FAA" w:rsidP="00472368">
      <w:pPr>
        <w:pStyle w:val="Heading3"/>
        <w:jc w:val="both"/>
        <w:rPr>
          <w:rFonts w:asciiTheme="majorHAnsi" w:hAnsiTheme="majorHAnsi"/>
          <w:color w:val="365F91" w:themeColor="accent1" w:themeShade="BF"/>
        </w:rPr>
      </w:pPr>
      <w:r>
        <w:rPr>
          <w:rFonts w:ascii="Times New Roman" w:hAnsi="Times New Roman"/>
          <w:b/>
          <w:sz w:val="24"/>
          <w:szCs w:val="24"/>
        </w:rPr>
        <w:t>2.4.1.</w:t>
      </w:r>
      <w:r>
        <w:rPr>
          <w:rFonts w:ascii="Times New Roman" w:hAnsi="Times New Roman"/>
          <w:b/>
          <w:sz w:val="24"/>
          <w:szCs w:val="24"/>
        </w:rPr>
        <w:tab/>
        <w:t>Wat reeds bestaat</w:t>
      </w:r>
    </w:p>
    <w:p w:rsidR="00CC2877" w:rsidRPr="003814FB" w:rsidRDefault="00CC2877" w:rsidP="00472368">
      <w:pPr>
        <w:keepNext/>
        <w:jc w:val="both"/>
        <w:rPr>
          <w:lang w:val="en-GB"/>
        </w:rPr>
      </w:pPr>
    </w:p>
    <w:p w:rsidR="00CC2877" w:rsidRPr="007D6282" w:rsidRDefault="00DF7306" w:rsidP="00472368">
      <w:pPr>
        <w:pStyle w:val="ListParagraph"/>
        <w:numPr>
          <w:ilvl w:val="0"/>
          <w:numId w:val="35"/>
        </w:numPr>
        <w:spacing w:after="0" w:line="288" w:lineRule="auto"/>
        <w:jc w:val="both"/>
      </w:pPr>
      <w:r>
        <w:rPr>
          <w:rFonts w:ascii="Times New Roman" w:hAnsi="Times New Roman"/>
        </w:rPr>
        <w:t>Het Europees banennetwerk (Eures) organiseert al “Europese banendagen”, waar arbeidsmobiliteit in de EU wordt bevorderd, door de vaardigheden van sollicitanten te koppelen aan de behoeften van werkgevers in andere lidstaten (een kopie van dergelijke mobiliteitsevenementen zou geen meerwaarde opleveren).</w:t>
      </w:r>
    </w:p>
    <w:p w:rsidR="00CC2877" w:rsidRPr="007D6282" w:rsidRDefault="00CC2877" w:rsidP="00472368">
      <w:pPr>
        <w:pStyle w:val="ListParagraph"/>
        <w:spacing w:after="0" w:line="288" w:lineRule="auto"/>
        <w:ind w:left="360"/>
        <w:jc w:val="both"/>
      </w:pPr>
    </w:p>
    <w:p w:rsidR="00CC2877" w:rsidRPr="007D6282" w:rsidRDefault="00501E02" w:rsidP="00472368">
      <w:pPr>
        <w:pStyle w:val="ListParagraph"/>
        <w:numPr>
          <w:ilvl w:val="0"/>
          <w:numId w:val="35"/>
        </w:numPr>
        <w:spacing w:after="0" w:line="288" w:lineRule="auto"/>
        <w:jc w:val="both"/>
      </w:pPr>
      <w:r>
        <w:rPr>
          <w:rFonts w:ascii="Times New Roman" w:hAnsi="Times New Roman"/>
        </w:rPr>
        <w:t>Verschillende EU-projecten zijn gericht op het bestrijden van werkloosheid; bovendien zijn er ook nationale programma’s die hetzelfde doel nastreven.</w:t>
      </w:r>
    </w:p>
    <w:p w:rsidR="00CC2877" w:rsidRPr="007D6282" w:rsidRDefault="00CC2877" w:rsidP="00472368">
      <w:pPr>
        <w:pStyle w:val="ListParagraph"/>
        <w:spacing w:after="0" w:line="288" w:lineRule="auto"/>
        <w:ind w:left="360"/>
        <w:jc w:val="both"/>
      </w:pPr>
    </w:p>
    <w:p w:rsidR="00CC2877" w:rsidRPr="007D6282" w:rsidRDefault="002867F1" w:rsidP="00472368">
      <w:pPr>
        <w:pStyle w:val="ListParagraph"/>
        <w:numPr>
          <w:ilvl w:val="0"/>
          <w:numId w:val="35"/>
        </w:numPr>
        <w:spacing w:after="0" w:line="288" w:lineRule="auto"/>
        <w:jc w:val="both"/>
      </w:pPr>
      <w:r>
        <w:rPr>
          <w:rFonts w:ascii="Times New Roman" w:hAnsi="Times New Roman"/>
        </w:rPr>
        <w:t>Het ESF en het ESF+ zullen de belangrijkste instrumenten zijn om plaatselijke werkgelegenheidsstrategieën te financieren en opleiding en bij- en omscholing te bevorderen.</w:t>
      </w:r>
    </w:p>
    <w:p w:rsidR="00CC2877" w:rsidRPr="007D6282" w:rsidRDefault="00CC2877" w:rsidP="00472368">
      <w:pPr>
        <w:pStyle w:val="ListParagraph"/>
        <w:spacing w:after="0" w:line="288" w:lineRule="auto"/>
        <w:ind w:left="360"/>
        <w:jc w:val="both"/>
      </w:pPr>
    </w:p>
    <w:p w:rsidR="00CC2877" w:rsidRPr="007D6282" w:rsidRDefault="00DF7306" w:rsidP="00472368">
      <w:pPr>
        <w:numPr>
          <w:ilvl w:val="0"/>
          <w:numId w:val="35"/>
        </w:numPr>
        <w:jc w:val="both"/>
        <w:rPr>
          <w:rFonts w:eastAsia="Times New Roman"/>
          <w:sz w:val="24"/>
          <w:szCs w:val="24"/>
        </w:rPr>
      </w:pPr>
      <w:r>
        <w:t>Het programma van de Europese Unie voor werkgelegenheid en sociale innovatie EaSI (2014-2020) omvat drie pijlers (Progress voor de modernisering van het werkgelegenheids- en sociaal beleid, Eures voor arbeidsmobiliteit en Microfinanciering en sociaal ondernemerschap, dat voorziet in microleningen en microkredieten voor kwetsbare groepen en ondernemingen en sociaal ondernemen stimuleert). InvestEU zal vanaf 2021 soortgelijke mogelijkheden bieden.</w:t>
      </w:r>
    </w:p>
    <w:p w:rsidR="00FE1A83" w:rsidRPr="007D6282" w:rsidRDefault="00FE1A83" w:rsidP="00472368">
      <w:pPr>
        <w:jc w:val="both"/>
        <w:rPr>
          <w:lang w:val="en-GB"/>
        </w:rPr>
      </w:pPr>
    </w:p>
    <w:p w:rsidR="00CC2877" w:rsidRPr="007D6282" w:rsidRDefault="00455FAA" w:rsidP="00472368">
      <w:pPr>
        <w:pStyle w:val="Heading3"/>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2.4.2.</w:t>
      </w:r>
      <w:r>
        <w:rPr>
          <w:rFonts w:ascii="Times New Roman" w:hAnsi="Times New Roman"/>
          <w:b/>
          <w:sz w:val="24"/>
          <w:szCs w:val="24"/>
        </w:rPr>
        <w:tab/>
      </w:r>
      <w:r>
        <w:rPr>
          <w:rFonts w:ascii="Times New Roman" w:hAnsi="Times New Roman"/>
          <w:b/>
          <w:sz w:val="24"/>
          <w:szCs w:val="32"/>
        </w:rPr>
        <w:t>De meerwaarde van “Europese lokale banenbeurzen”</w:t>
      </w:r>
    </w:p>
    <w:p w:rsidR="00CC2877" w:rsidRPr="007D6282" w:rsidRDefault="00CC2877" w:rsidP="00472368">
      <w:pPr>
        <w:keepNext/>
        <w:jc w:val="both"/>
        <w:rPr>
          <w:lang w:val="en-GB"/>
        </w:rPr>
      </w:pPr>
    </w:p>
    <w:p w:rsidR="00CC2877" w:rsidRPr="007D6282" w:rsidRDefault="00CC2877" w:rsidP="00472368">
      <w:pPr>
        <w:pStyle w:val="ListParagraph"/>
        <w:spacing w:after="0" w:line="288" w:lineRule="auto"/>
        <w:ind w:left="0"/>
        <w:jc w:val="both"/>
      </w:pPr>
      <w:r>
        <w:rPr>
          <w:rFonts w:ascii="Times New Roman" w:hAnsi="Times New Roman"/>
        </w:rPr>
        <w:t>Gelet op de bestaande EU- en andere initiatieven, zou de specifieke meerwaarde van een “Europese lokale banenbeurs” de volgende zijn:</w:t>
      </w:r>
    </w:p>
    <w:p w:rsidR="00100433" w:rsidRPr="007D6282" w:rsidRDefault="00100433" w:rsidP="00472368">
      <w:pPr>
        <w:pStyle w:val="ListParagraph"/>
        <w:spacing w:after="0" w:line="288" w:lineRule="auto"/>
        <w:ind w:left="0"/>
        <w:jc w:val="both"/>
      </w:pPr>
    </w:p>
    <w:p w:rsidR="00100433" w:rsidRPr="007D6282" w:rsidRDefault="00100433" w:rsidP="00472368">
      <w:pPr>
        <w:pStyle w:val="ListParagraph"/>
        <w:numPr>
          <w:ilvl w:val="0"/>
          <w:numId w:val="35"/>
        </w:numPr>
        <w:spacing w:after="0" w:line="288" w:lineRule="auto"/>
        <w:jc w:val="both"/>
      </w:pPr>
      <w:r>
        <w:rPr>
          <w:rFonts w:ascii="Times New Roman" w:hAnsi="Times New Roman"/>
        </w:rPr>
        <w:t>de bestaande EU-diensten voor werkzoekenden op lokaal, nationaal en Europees niveau voor het voetlicht brengen;</w:t>
      </w:r>
    </w:p>
    <w:p w:rsidR="0002399B" w:rsidRPr="007D6282" w:rsidRDefault="0002399B" w:rsidP="00472368">
      <w:pPr>
        <w:pStyle w:val="ListParagraph"/>
        <w:numPr>
          <w:ilvl w:val="0"/>
          <w:numId w:val="35"/>
        </w:numPr>
        <w:spacing w:after="0" w:line="288" w:lineRule="auto"/>
        <w:jc w:val="both"/>
      </w:pPr>
      <w:r>
        <w:rPr>
          <w:rFonts w:ascii="Times New Roman" w:hAnsi="Times New Roman"/>
        </w:rPr>
        <w:t>nieuwe trends op het gebied van vaardigheden en werkgelegenheid op lokaal en Europees niveau voorstellen;</w:t>
      </w:r>
    </w:p>
    <w:p w:rsidR="00100433" w:rsidRPr="007D6282" w:rsidRDefault="00100433" w:rsidP="00472368">
      <w:pPr>
        <w:pStyle w:val="ListParagraph"/>
        <w:numPr>
          <w:ilvl w:val="0"/>
          <w:numId w:val="35"/>
        </w:numPr>
        <w:spacing w:after="0" w:line="288" w:lineRule="auto"/>
        <w:jc w:val="both"/>
      </w:pPr>
      <w:r>
        <w:rPr>
          <w:rFonts w:ascii="Times New Roman" w:hAnsi="Times New Roman"/>
        </w:rPr>
        <w:t>de EU-regelingen ter ondersteuning van lokale en regionale werkgelegenheidsstrategieën voorstellen met het oog op de lopende programmeringsactiviteiten van de toekomstige ESF-programma’s;</w:t>
      </w:r>
    </w:p>
    <w:p w:rsidR="00100433" w:rsidRPr="007D6282" w:rsidRDefault="00100433" w:rsidP="00472368">
      <w:pPr>
        <w:pStyle w:val="ListParagraph"/>
        <w:numPr>
          <w:ilvl w:val="0"/>
          <w:numId w:val="35"/>
        </w:numPr>
        <w:spacing w:after="0" w:line="288" w:lineRule="auto"/>
        <w:jc w:val="both"/>
      </w:pPr>
      <w:r>
        <w:rPr>
          <w:rFonts w:ascii="Times New Roman" w:hAnsi="Times New Roman"/>
        </w:rPr>
        <w:t xml:space="preserve">de verbanden tussen verschillende beleidsgebieden en programma’s van de EU aantonen vanuit het oogpunt van jongeren; </w:t>
      </w:r>
    </w:p>
    <w:p w:rsidR="00C97045" w:rsidRPr="007D6282" w:rsidRDefault="00100433" w:rsidP="00472368">
      <w:pPr>
        <w:pStyle w:val="ListParagraph"/>
        <w:numPr>
          <w:ilvl w:val="0"/>
          <w:numId w:val="35"/>
        </w:numPr>
        <w:spacing w:after="0" w:line="288" w:lineRule="auto"/>
        <w:jc w:val="both"/>
      </w:pPr>
      <w:r>
        <w:rPr>
          <w:rFonts w:ascii="Times New Roman" w:hAnsi="Times New Roman"/>
        </w:rPr>
        <w:t>de basis leggen voor een dialoog met de burgers over de sociale dimensie van de EU en wat zij betekent voor de lokale en regionale werkgelegenheid; en</w:t>
      </w:r>
    </w:p>
    <w:p w:rsidR="00100433" w:rsidRPr="007D6282" w:rsidRDefault="00C97045" w:rsidP="00472368">
      <w:pPr>
        <w:pStyle w:val="ListParagraph"/>
        <w:numPr>
          <w:ilvl w:val="0"/>
          <w:numId w:val="35"/>
        </w:numPr>
        <w:spacing w:after="0" w:line="288" w:lineRule="auto"/>
        <w:jc w:val="both"/>
      </w:pPr>
      <w:r>
        <w:rPr>
          <w:rFonts w:ascii="Times New Roman" w:hAnsi="Times New Roman"/>
        </w:rPr>
        <w:t>het koppelen van banen en vaardigheden op lokaal niveau ondersteunen met EU-financiering voor dergelijke lokale evenementen.</w:t>
      </w:r>
    </w:p>
    <w:p w:rsidR="00FE1A83" w:rsidRPr="003814FB" w:rsidRDefault="00FE1A83" w:rsidP="00472368">
      <w:pPr>
        <w:jc w:val="both"/>
        <w:rPr>
          <w:lang w:val="en-GB"/>
        </w:rPr>
      </w:pPr>
    </w:p>
    <w:p w:rsidR="00F165DD" w:rsidRPr="003814FB" w:rsidRDefault="001A2D75" w:rsidP="00472368">
      <w:pPr>
        <w:jc w:val="both"/>
      </w:pPr>
      <w:r>
        <w:t>In deze fase is het belangrijk om dergelijke beurzen te organiseren in het kader van de inspanningen met het oog op het herstel van de COVID-19-pandemie. Het is dan ook van essentieel belang om een beleidsdialoog op gang te brengen met vooraanstaande vertegenwoordigers van de sociale partners, ontvangende CvdR-leden en EU-vertegenwoordigers over concepten en strategieën om de huidige werkgelegenheidsuitdagingen aan te pakken.</w:t>
      </w:r>
    </w:p>
    <w:p w:rsidR="00FE1A83" w:rsidRPr="003814FB" w:rsidRDefault="00FE1A83" w:rsidP="00472368">
      <w:pPr>
        <w:jc w:val="both"/>
        <w:rPr>
          <w:lang w:val="en-GB"/>
        </w:rPr>
      </w:pPr>
    </w:p>
    <w:p w:rsidR="00100433" w:rsidRPr="007D6282" w:rsidRDefault="00455FAA" w:rsidP="00472368">
      <w:pPr>
        <w:pStyle w:val="Heading3"/>
        <w:ind w:left="709" w:hanging="709"/>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2.4.3.</w:t>
      </w:r>
      <w:r>
        <w:rPr>
          <w:rFonts w:ascii="Times New Roman" w:hAnsi="Times New Roman"/>
          <w:b/>
          <w:sz w:val="24"/>
          <w:szCs w:val="24"/>
        </w:rPr>
        <w:tab/>
      </w:r>
      <w:r>
        <w:rPr>
          <w:rFonts w:ascii="Times New Roman" w:hAnsi="Times New Roman"/>
          <w:b/>
          <w:sz w:val="24"/>
          <w:szCs w:val="32"/>
        </w:rPr>
        <w:t>Doelgroep van de “Europese lokale banenbeurzen”</w:t>
      </w:r>
    </w:p>
    <w:p w:rsidR="0002399B" w:rsidRPr="007D6282" w:rsidRDefault="0002399B" w:rsidP="00472368">
      <w:pPr>
        <w:keepNext/>
        <w:jc w:val="both"/>
        <w:rPr>
          <w:lang w:val="en-GB"/>
        </w:rPr>
      </w:pPr>
    </w:p>
    <w:p w:rsidR="0002399B" w:rsidRPr="007D6282" w:rsidRDefault="0002399B" w:rsidP="00472368">
      <w:pPr>
        <w:jc w:val="both"/>
      </w:pPr>
      <w:r>
        <w:t>De doelgroep van de “Europese lokale banenbeurzen” zou kunnen bestaan uit:</w:t>
      </w:r>
    </w:p>
    <w:p w:rsidR="0002399B" w:rsidRPr="007D6282" w:rsidRDefault="0002399B" w:rsidP="00472368">
      <w:pPr>
        <w:jc w:val="both"/>
        <w:rPr>
          <w:lang w:val="en-GB"/>
        </w:rPr>
      </w:pPr>
    </w:p>
    <w:p w:rsidR="0002399B" w:rsidRPr="007D6282" w:rsidRDefault="0002399B" w:rsidP="00472368">
      <w:pPr>
        <w:pStyle w:val="ListParagraph"/>
        <w:numPr>
          <w:ilvl w:val="0"/>
          <w:numId w:val="33"/>
        </w:numPr>
        <w:spacing w:after="0" w:line="288" w:lineRule="auto"/>
        <w:ind w:left="360"/>
        <w:jc w:val="both"/>
      </w:pPr>
      <w:r>
        <w:rPr>
          <w:rFonts w:ascii="Times New Roman" w:hAnsi="Times New Roman"/>
        </w:rPr>
        <w:t>werkzoekenden, in het bijzonder studenten en pas afgestudeerden,</w:t>
      </w:r>
    </w:p>
    <w:p w:rsidR="0002399B" w:rsidRPr="007D6282" w:rsidRDefault="0002399B" w:rsidP="00472368">
      <w:pPr>
        <w:pStyle w:val="ListParagraph"/>
        <w:numPr>
          <w:ilvl w:val="0"/>
          <w:numId w:val="33"/>
        </w:numPr>
        <w:spacing w:after="0" w:line="288" w:lineRule="auto"/>
        <w:ind w:left="360"/>
        <w:jc w:val="both"/>
      </w:pPr>
      <w:r>
        <w:rPr>
          <w:rFonts w:ascii="Times New Roman" w:hAnsi="Times New Roman"/>
        </w:rPr>
        <w:t>lokale/regionale arbeidsvoorzieningsdiensten,</w:t>
      </w:r>
    </w:p>
    <w:p w:rsidR="0002399B" w:rsidRPr="007D6282" w:rsidRDefault="0002399B" w:rsidP="00472368">
      <w:pPr>
        <w:pStyle w:val="ListParagraph"/>
        <w:numPr>
          <w:ilvl w:val="0"/>
          <w:numId w:val="33"/>
        </w:numPr>
        <w:spacing w:after="0" w:line="288" w:lineRule="auto"/>
        <w:ind w:left="360"/>
        <w:jc w:val="both"/>
      </w:pPr>
      <w:r>
        <w:rPr>
          <w:rFonts w:ascii="Times New Roman" w:hAnsi="Times New Roman"/>
        </w:rPr>
        <w:t>agentschappen voor opleiding, omscholing en werkgelegenheid,</w:t>
      </w:r>
    </w:p>
    <w:p w:rsidR="0002399B" w:rsidRPr="007D6282" w:rsidRDefault="0002399B" w:rsidP="00472368">
      <w:pPr>
        <w:pStyle w:val="ListParagraph"/>
        <w:numPr>
          <w:ilvl w:val="0"/>
          <w:numId w:val="33"/>
        </w:numPr>
        <w:spacing w:after="0" w:line="288" w:lineRule="auto"/>
        <w:ind w:left="360"/>
        <w:jc w:val="both"/>
      </w:pPr>
      <w:r>
        <w:rPr>
          <w:rFonts w:ascii="Times New Roman" w:hAnsi="Times New Roman"/>
        </w:rPr>
        <w:t>sociale partners, onderwijsinstellingen,</w:t>
      </w:r>
    </w:p>
    <w:p w:rsidR="0002399B" w:rsidRPr="007D6282" w:rsidRDefault="0002399B" w:rsidP="00472368">
      <w:pPr>
        <w:pStyle w:val="ListParagraph"/>
        <w:numPr>
          <w:ilvl w:val="0"/>
          <w:numId w:val="33"/>
        </w:numPr>
        <w:spacing w:after="0" w:line="288" w:lineRule="auto"/>
        <w:ind w:left="360"/>
        <w:jc w:val="both"/>
      </w:pPr>
      <w:r>
        <w:rPr>
          <w:rFonts w:ascii="Times New Roman" w:hAnsi="Times New Roman"/>
        </w:rPr>
        <w:t>lokale/regionale overheden en politici en</w:t>
      </w:r>
    </w:p>
    <w:p w:rsidR="0002399B" w:rsidRPr="007D6282" w:rsidRDefault="0002399B" w:rsidP="00472368">
      <w:pPr>
        <w:pStyle w:val="ListParagraph"/>
        <w:numPr>
          <w:ilvl w:val="0"/>
          <w:numId w:val="33"/>
        </w:numPr>
        <w:spacing w:after="0" w:line="288" w:lineRule="auto"/>
        <w:ind w:left="360"/>
        <w:jc w:val="both"/>
      </w:pPr>
      <w:r>
        <w:rPr>
          <w:rFonts w:ascii="Times New Roman" w:hAnsi="Times New Roman"/>
        </w:rPr>
        <w:t>lokale/regionale media.</w:t>
      </w:r>
    </w:p>
    <w:p w:rsidR="00FE1A83" w:rsidRPr="007D6282" w:rsidRDefault="00FE1A83" w:rsidP="00472368">
      <w:pPr>
        <w:jc w:val="both"/>
        <w:rPr>
          <w:lang w:val="en-GB"/>
        </w:rPr>
      </w:pPr>
    </w:p>
    <w:p w:rsidR="0002399B" w:rsidRPr="007D6282" w:rsidRDefault="00455FAA" w:rsidP="00472368">
      <w:pPr>
        <w:pStyle w:val="Heading3"/>
        <w:tabs>
          <w:tab w:val="left" w:pos="567"/>
        </w:tabs>
        <w:jc w:val="both"/>
        <w:rPr>
          <w:rFonts w:asciiTheme="majorHAnsi" w:hAnsiTheme="majorHAnsi"/>
          <w:color w:val="365F91" w:themeColor="accent1" w:themeShade="BF"/>
        </w:rPr>
      </w:pPr>
      <w:r>
        <w:rPr>
          <w:rFonts w:ascii="Times New Roman" w:hAnsi="Times New Roman"/>
          <w:b/>
          <w:sz w:val="24"/>
          <w:szCs w:val="24"/>
        </w:rPr>
        <w:t>2.4.4.</w:t>
      </w:r>
      <w:r>
        <w:rPr>
          <w:rFonts w:ascii="Times New Roman" w:hAnsi="Times New Roman"/>
          <w:b/>
          <w:sz w:val="24"/>
          <w:szCs w:val="24"/>
        </w:rPr>
        <w:tab/>
        <w:t>Mogelijke partners en uitvoering</w:t>
      </w:r>
    </w:p>
    <w:p w:rsidR="0002399B" w:rsidRPr="007D6282" w:rsidRDefault="0002399B" w:rsidP="00472368">
      <w:pPr>
        <w:keepNext/>
        <w:jc w:val="both"/>
        <w:rPr>
          <w:lang w:val="en-GB"/>
        </w:rPr>
      </w:pPr>
    </w:p>
    <w:p w:rsidR="0002399B" w:rsidRPr="007D6282" w:rsidRDefault="00E0617C" w:rsidP="00472368">
      <w:pPr>
        <w:jc w:val="both"/>
      </w:pPr>
      <w:r>
        <w:t>Een “Europese lokale banenbeurs” zal het meeste succes boeken als de juiste partners er vanaf het begin bij betrokken zijn en zinvolle input kunnen leveren. De volgende partners zouden kunnen worden betrokken:</w:t>
      </w:r>
    </w:p>
    <w:p w:rsidR="0002399B" w:rsidRPr="007D6282" w:rsidRDefault="0002399B" w:rsidP="00472368">
      <w:pPr>
        <w:jc w:val="both"/>
        <w:rPr>
          <w:lang w:val="en-GB"/>
        </w:rPr>
      </w:pPr>
    </w:p>
    <w:p w:rsidR="0002399B" w:rsidRPr="007D6282" w:rsidRDefault="00E0617C" w:rsidP="00472368">
      <w:pPr>
        <w:pStyle w:val="ListParagraph"/>
        <w:numPr>
          <w:ilvl w:val="0"/>
          <w:numId w:val="40"/>
        </w:numPr>
        <w:spacing w:after="0" w:line="288" w:lineRule="auto"/>
        <w:jc w:val="both"/>
      </w:pPr>
      <w:r>
        <w:rPr>
          <w:rFonts w:ascii="Times New Roman" w:hAnsi="Times New Roman"/>
          <w:u w:val="single"/>
        </w:rPr>
        <w:t>op lokaal niveau:</w:t>
      </w:r>
      <w:r>
        <w:rPr>
          <w:rFonts w:ascii="Times New Roman" w:hAnsi="Times New Roman"/>
        </w:rPr>
        <w:t xml:space="preserve"> overheidsinstanties, kamers van koophandel en ondernemersorganisaties, vakbonden, het maatschappelijk middenveld, scholen, universiteiten enz.</w:t>
      </w:r>
    </w:p>
    <w:p w:rsidR="0002399B" w:rsidRPr="007D6282" w:rsidRDefault="00E0617C" w:rsidP="00472368">
      <w:pPr>
        <w:pStyle w:val="ListParagraph"/>
        <w:numPr>
          <w:ilvl w:val="0"/>
          <w:numId w:val="40"/>
        </w:numPr>
        <w:spacing w:after="0" w:line="288" w:lineRule="auto"/>
        <w:jc w:val="both"/>
      </w:pPr>
      <w:r>
        <w:rPr>
          <w:rFonts w:ascii="Times New Roman" w:hAnsi="Times New Roman"/>
          <w:u w:val="single"/>
        </w:rPr>
        <w:t>op regionaal niveau</w:t>
      </w:r>
      <w:r>
        <w:rPr>
          <w:rFonts w:ascii="Times New Roman" w:hAnsi="Times New Roman"/>
        </w:rPr>
        <w:t>: ESF-beheersautoriteiten, diensten voor arbeidsvoorziening, regionale ministeries, regionale ondernemersorganisaties, universiteiten enz.</w:t>
      </w:r>
    </w:p>
    <w:p w:rsidR="0002399B" w:rsidRPr="007D6282" w:rsidRDefault="00E0617C" w:rsidP="00472368">
      <w:pPr>
        <w:pStyle w:val="ListParagraph"/>
        <w:numPr>
          <w:ilvl w:val="0"/>
          <w:numId w:val="40"/>
        </w:numPr>
        <w:spacing w:after="0" w:line="288" w:lineRule="auto"/>
        <w:jc w:val="both"/>
      </w:pPr>
      <w:r>
        <w:rPr>
          <w:rFonts w:ascii="Times New Roman" w:hAnsi="Times New Roman"/>
          <w:u w:val="single"/>
        </w:rPr>
        <w:t>op nationaal niveau</w:t>
      </w:r>
      <w:r>
        <w:rPr>
          <w:rFonts w:ascii="Times New Roman" w:hAnsi="Times New Roman"/>
        </w:rPr>
        <w:t>: nationale ministeries, verenigingen uit de sociale sector, verenigingen van ondernemingen, van opleidingsinstellingen, van universiteiten enz.</w:t>
      </w:r>
    </w:p>
    <w:p w:rsidR="00256F0C" w:rsidRPr="007D6282" w:rsidRDefault="00E0617C" w:rsidP="00472368">
      <w:pPr>
        <w:pStyle w:val="ListParagraph"/>
        <w:numPr>
          <w:ilvl w:val="0"/>
          <w:numId w:val="40"/>
        </w:numPr>
        <w:spacing w:after="0" w:line="288" w:lineRule="auto"/>
        <w:jc w:val="both"/>
      </w:pPr>
      <w:r>
        <w:rPr>
          <w:rFonts w:ascii="Times New Roman" w:hAnsi="Times New Roman"/>
          <w:u w:val="single"/>
        </w:rPr>
        <w:t>op EU-niveau</w:t>
      </w:r>
      <w:r>
        <w:rPr>
          <w:rFonts w:ascii="Times New Roman" w:hAnsi="Times New Roman"/>
        </w:rPr>
        <w:t xml:space="preserve">: de Europese Commissie (onder leiding van DG EMPL; </w:t>
      </w:r>
      <w:r>
        <w:rPr>
          <w:rFonts w:ascii="Times New Roman" w:hAnsi="Times New Roman"/>
          <w:i/>
          <w:iCs/>
        </w:rPr>
        <w:t>andere DG’s en diensten die zouden kunnen worden uitgenodigd zijn</w:t>
      </w:r>
      <w:r>
        <w:rPr>
          <w:rFonts w:ascii="Times New Roman" w:hAnsi="Times New Roman"/>
        </w:rPr>
        <w:t xml:space="preserve"> DG EAC; DG REGIO, DG REFORM, JRC), EU-agentschappen (ELA, Cedefop, Eurofound); CvdR-leden; leden van het Europees Parlement; sociale partners.</w:t>
      </w:r>
    </w:p>
    <w:p w:rsidR="00FE1A83" w:rsidRPr="003814FB" w:rsidRDefault="00FE1A83" w:rsidP="00472368">
      <w:pPr>
        <w:jc w:val="both"/>
        <w:rPr>
          <w:lang w:val="en-GB"/>
        </w:rPr>
      </w:pPr>
    </w:p>
    <w:p w:rsidR="00834904" w:rsidRPr="003814FB" w:rsidRDefault="00834904" w:rsidP="00472368">
      <w:pPr>
        <w:jc w:val="both"/>
      </w:pPr>
      <w:r>
        <w:t xml:space="preserve">Aangezien vanwege de huidige COVID-19-pandemie voorlopig geen fysieke beurzen kunnen worden georganiseerd, zou kunnen worden overwogen om evenementen te organiseren zoals </w:t>
      </w:r>
      <w:hyperlink r:id="rId14" w:history="1">
        <w:r>
          <w:t>Europese onlinebanendagen</w:t>
        </w:r>
      </w:hyperlink>
      <w:r>
        <w:t>, in overleg met en met de betrokkenheid van het respectieve nationale Eures-coördinatiebureau.</w:t>
      </w:r>
    </w:p>
    <w:p w:rsidR="003E0FE7" w:rsidRPr="003814FB" w:rsidRDefault="003E0FE7" w:rsidP="00472368">
      <w:pPr>
        <w:jc w:val="both"/>
        <w:rPr>
          <w:lang w:val="en-GB"/>
        </w:rPr>
      </w:pPr>
    </w:p>
    <w:p w:rsidR="00E6624D" w:rsidRPr="003814FB" w:rsidRDefault="00E6624D" w:rsidP="00472368">
      <w:pPr>
        <w:jc w:val="both"/>
      </w:pPr>
      <w:r>
        <w:t>De rollen en verantwoordelijkheden van organisatoren en partners zullen in afzonderlijke overeenkomsten worden gedefinieerd.</w:t>
      </w:r>
    </w:p>
    <w:p w:rsidR="00F165DD" w:rsidRPr="007D6282" w:rsidRDefault="00F165DD" w:rsidP="00472368">
      <w:pPr>
        <w:jc w:val="both"/>
        <w:rPr>
          <w:sz w:val="24"/>
          <w:lang w:val="en-GB"/>
        </w:rPr>
      </w:pPr>
    </w:p>
    <w:p w:rsidR="001A2D75" w:rsidRPr="007D6282" w:rsidRDefault="001A2D75" w:rsidP="00472368">
      <w:pPr>
        <w:pStyle w:val="ListParagraph"/>
        <w:keepNext/>
        <w:numPr>
          <w:ilvl w:val="2"/>
          <w:numId w:val="22"/>
        </w:numPr>
        <w:spacing w:after="0" w:line="288" w:lineRule="auto"/>
        <w:jc w:val="both"/>
        <w:rPr>
          <w:b/>
          <w:sz w:val="24"/>
        </w:rPr>
      </w:pPr>
      <w:r>
        <w:rPr>
          <w:rFonts w:ascii="Times New Roman" w:hAnsi="Times New Roman"/>
          <w:b/>
          <w:sz w:val="24"/>
        </w:rPr>
        <w:t>Financiering en andere steun</w:t>
      </w:r>
    </w:p>
    <w:p w:rsidR="001A2D75" w:rsidRPr="003814FB" w:rsidRDefault="001A2D75" w:rsidP="00472368">
      <w:pPr>
        <w:keepNext/>
        <w:jc w:val="both"/>
        <w:rPr>
          <w:lang w:val="en-GB"/>
        </w:rPr>
      </w:pPr>
    </w:p>
    <w:p w:rsidR="006C7232" w:rsidRPr="007D6282" w:rsidRDefault="001A2D75" w:rsidP="00472368">
      <w:pPr>
        <w:jc w:val="both"/>
      </w:pPr>
      <w:r>
        <w:t>Door CvdR-leden georganiseerde “Europese lokale banenbeurzen” zouden kunnen worden ondersteund met EU-financiering. Het Comité van de Regio’s en DG EMPL zullen samen passende mogelijkheden voor financiële ondersteuning van deze evenementen verkennen.</w:t>
      </w:r>
    </w:p>
    <w:p w:rsidR="001A2D75" w:rsidRPr="007D6282" w:rsidRDefault="001A2D75" w:rsidP="00472368">
      <w:pPr>
        <w:jc w:val="both"/>
        <w:rPr>
          <w:lang w:val="en-GB"/>
        </w:rPr>
      </w:pPr>
    </w:p>
    <w:p w:rsidR="001A2D75" w:rsidRPr="007D6282" w:rsidRDefault="008D4711" w:rsidP="00472368">
      <w:pPr>
        <w:jc w:val="both"/>
      </w:pPr>
      <w:r>
        <w:t>Andere vormen van steun zouden kunnen zijn:</w:t>
      </w:r>
    </w:p>
    <w:p w:rsidR="001A2D75" w:rsidRPr="007D6282" w:rsidRDefault="001A2D75" w:rsidP="00472368">
      <w:pPr>
        <w:jc w:val="both"/>
        <w:rPr>
          <w:lang w:val="en-GB"/>
        </w:rPr>
      </w:pPr>
    </w:p>
    <w:p w:rsidR="001A2D75" w:rsidRPr="007D6282" w:rsidRDefault="001A2D75" w:rsidP="00472368">
      <w:pPr>
        <w:pStyle w:val="ListParagraph"/>
        <w:numPr>
          <w:ilvl w:val="0"/>
          <w:numId w:val="41"/>
        </w:numPr>
        <w:spacing w:after="0" w:line="288" w:lineRule="auto"/>
        <w:jc w:val="both"/>
      </w:pPr>
      <w:r>
        <w:rPr>
          <w:rFonts w:ascii="Times New Roman" w:hAnsi="Times New Roman"/>
        </w:rPr>
        <w:t>een verbintenis van de EU-partners om actief deel te nemen aan de beurzen (door deskundigen en afgevaardigden te sturen);</w:t>
      </w:r>
    </w:p>
    <w:p w:rsidR="001A2D75" w:rsidRPr="007D6282" w:rsidRDefault="001A2D75" w:rsidP="00472368">
      <w:pPr>
        <w:pStyle w:val="ListParagraph"/>
        <w:numPr>
          <w:ilvl w:val="0"/>
          <w:numId w:val="41"/>
        </w:numPr>
        <w:spacing w:after="0" w:line="288" w:lineRule="auto"/>
        <w:jc w:val="both"/>
      </w:pPr>
      <w:r>
        <w:rPr>
          <w:rFonts w:ascii="Times New Roman" w:hAnsi="Times New Roman"/>
        </w:rPr>
        <w:t>een verbintenis van de EU-partners om passend informatiemateriaal voor te bereiden voor het evenement;</w:t>
      </w:r>
    </w:p>
    <w:p w:rsidR="001A2D75" w:rsidRPr="007D6282" w:rsidRDefault="001A2D75" w:rsidP="00472368">
      <w:pPr>
        <w:pStyle w:val="ListParagraph"/>
        <w:numPr>
          <w:ilvl w:val="0"/>
          <w:numId w:val="41"/>
        </w:numPr>
        <w:spacing w:after="0" w:line="288" w:lineRule="auto"/>
        <w:jc w:val="both"/>
      </w:pPr>
      <w:r>
        <w:rPr>
          <w:rFonts w:ascii="Times New Roman" w:hAnsi="Times New Roman"/>
        </w:rPr>
        <w:t>een verbintenis, waar mogelijk, van een vertegenwoordiger op hoog niveau: de commissaris of een hogere bestuurder van DG EMPL om de beurs bij te wonen.</w:t>
      </w:r>
    </w:p>
    <w:p w:rsidR="007A1EBE" w:rsidRPr="007D6282" w:rsidRDefault="007A1EBE" w:rsidP="007D6282">
      <w:pPr>
        <w:rPr>
          <w:lang w:val="en-GB"/>
        </w:rPr>
      </w:pPr>
    </w:p>
    <w:p w:rsidR="00E01D16" w:rsidRPr="007D6282" w:rsidRDefault="008C4469" w:rsidP="007D6282">
      <w:pPr>
        <w:pStyle w:val="Heading1"/>
        <w:spacing w:before="0"/>
        <w:ind w:left="567" w:hanging="567"/>
        <w:rPr>
          <w:b/>
          <w:sz w:val="24"/>
        </w:rPr>
      </w:pPr>
      <w:r>
        <w:rPr>
          <w:rFonts w:ascii="Times New Roman" w:hAnsi="Times New Roman"/>
          <w:b/>
          <w:color w:val="auto"/>
          <w:sz w:val="24"/>
          <w:szCs w:val="24"/>
        </w:rPr>
        <w:lastRenderedPageBreak/>
        <w:t xml:space="preserve">3. </w:t>
      </w:r>
      <w:r>
        <w:rPr>
          <w:rFonts w:ascii="Times New Roman" w:hAnsi="Times New Roman"/>
          <w:b/>
          <w:color w:val="auto"/>
          <w:sz w:val="24"/>
          <w:szCs w:val="24"/>
        </w:rPr>
        <w:tab/>
      </w:r>
      <w:r>
        <w:rPr>
          <w:rFonts w:ascii="Times New Roman" w:hAnsi="Times New Roman"/>
          <w:b/>
          <w:color w:val="auto"/>
          <w:sz w:val="24"/>
        </w:rPr>
        <w:t>Andere beleidsgebieden en samenwerkingsmogelijkheden</w:t>
      </w:r>
    </w:p>
    <w:p w:rsidR="00E01D16" w:rsidRPr="007D6282" w:rsidRDefault="00E01D16" w:rsidP="00472368">
      <w:pPr>
        <w:jc w:val="both"/>
        <w:rPr>
          <w:rFonts w:eastAsiaTheme="majorEastAsia"/>
          <w:lang w:val="en-GB"/>
        </w:rPr>
      </w:pPr>
    </w:p>
    <w:p w:rsidR="00E01D16" w:rsidRPr="007D6282" w:rsidRDefault="00E01D16" w:rsidP="00472368">
      <w:pPr>
        <w:spacing w:after="0"/>
        <w:jc w:val="both"/>
        <w:rPr>
          <w:bCs/>
        </w:rPr>
      </w:pPr>
      <w:r>
        <w:t xml:space="preserve">Er staan momenteel diverse andere initiatieven op de agenda van DG EMPL, waaronder: </w:t>
      </w:r>
    </w:p>
    <w:p w:rsidR="007A1EBE" w:rsidRPr="007D6282" w:rsidRDefault="007A1EBE" w:rsidP="00472368">
      <w:pPr>
        <w:spacing w:after="0"/>
        <w:jc w:val="both"/>
        <w:rPr>
          <w:bCs/>
          <w:lang w:val="en-GB"/>
        </w:rPr>
      </w:pPr>
    </w:p>
    <w:p w:rsidR="00457987" w:rsidRPr="007D6282" w:rsidRDefault="007A1EBE" w:rsidP="00472368">
      <w:pPr>
        <w:pStyle w:val="ListParagraph"/>
        <w:numPr>
          <w:ilvl w:val="0"/>
          <w:numId w:val="33"/>
        </w:numPr>
        <w:spacing w:after="0" w:line="288" w:lineRule="auto"/>
        <w:ind w:left="360"/>
        <w:jc w:val="both"/>
      </w:pPr>
      <w:r>
        <w:rPr>
          <w:rFonts w:ascii="Times New Roman" w:hAnsi="Times New Roman"/>
        </w:rPr>
        <w:t>het actieplan voor de sociale economie, dat in 2021 wordt verwacht. Bij de samenwerking zouden activiteiten kunnen worden verkend op het gebied van sociale inclusie, het scheppen van banen, de zorgsector (opvang voor de jongste kinderen en ouderenzorg), andere sociale diensten en sociale innovatie in de sociale economie op regionaal en interregionaal niveau;</w:t>
      </w:r>
    </w:p>
    <w:p w:rsidR="00E01D16" w:rsidRPr="007D6282" w:rsidRDefault="007A1EBE" w:rsidP="00472368">
      <w:pPr>
        <w:pStyle w:val="ListParagraph"/>
        <w:numPr>
          <w:ilvl w:val="0"/>
          <w:numId w:val="33"/>
        </w:numPr>
        <w:spacing w:after="0" w:line="288" w:lineRule="auto"/>
        <w:ind w:left="360"/>
        <w:jc w:val="both"/>
      </w:pPr>
      <w:r>
        <w:rPr>
          <w:rFonts w:ascii="Times New Roman" w:hAnsi="Times New Roman"/>
        </w:rPr>
        <w:t>passende minimumlonen in de Europese Unie, met betrekking waartoe de Commissie op 28 oktober 2020 een richtlijn heeft voorgesteld;</w:t>
      </w:r>
    </w:p>
    <w:p w:rsidR="00E01D16" w:rsidRPr="007D6282" w:rsidRDefault="007A1EBE" w:rsidP="00472368">
      <w:pPr>
        <w:pStyle w:val="ListParagraph"/>
        <w:numPr>
          <w:ilvl w:val="0"/>
          <w:numId w:val="33"/>
        </w:numPr>
        <w:spacing w:after="0" w:line="288" w:lineRule="auto"/>
        <w:ind w:left="360"/>
        <w:jc w:val="both"/>
      </w:pPr>
      <w:r>
        <w:rPr>
          <w:rFonts w:ascii="Times New Roman" w:hAnsi="Times New Roman"/>
        </w:rPr>
        <w:t>de arbeidsomstandigheden van seizoenarbeiders, waarvoor de Commissie in 2020 richtsnoeren heeft opgesteld;</w:t>
      </w:r>
    </w:p>
    <w:p w:rsidR="00E01D16" w:rsidRPr="007D6282" w:rsidRDefault="007A1EBE" w:rsidP="00472368">
      <w:pPr>
        <w:pStyle w:val="ListParagraph"/>
        <w:numPr>
          <w:ilvl w:val="0"/>
          <w:numId w:val="33"/>
        </w:numPr>
        <w:spacing w:after="0" w:line="288" w:lineRule="auto"/>
        <w:ind w:left="360"/>
        <w:jc w:val="both"/>
      </w:pPr>
      <w:r>
        <w:rPr>
          <w:rFonts w:ascii="Times New Roman" w:hAnsi="Times New Roman"/>
        </w:rPr>
        <w:t>aspecten van de demografische verandering die binnen het bevoegdheidsgebied van DG EMPL vallen.</w:t>
      </w:r>
    </w:p>
    <w:p w:rsidR="007A1EBE" w:rsidRPr="007D6282" w:rsidRDefault="007A1EBE" w:rsidP="00472368">
      <w:pPr>
        <w:jc w:val="both"/>
        <w:rPr>
          <w:lang w:val="en-GB"/>
        </w:rPr>
      </w:pPr>
    </w:p>
    <w:p w:rsidR="00E01D16" w:rsidRPr="007D6282" w:rsidRDefault="00E01D16" w:rsidP="00472368">
      <w:pPr>
        <w:jc w:val="both"/>
      </w:pPr>
      <w:r>
        <w:t>Het CvdR zal het overleg met de lokale en regionale overheden proberen te intensiveren om input te verzamelen voor deze belangrijke werkgebieden. Voorts zijn het CvdR en DG EMPL voornemens om de uitwisselingen over deze thema’s te intensiveren.</w:t>
      </w:r>
    </w:p>
    <w:p w:rsidR="00E01D16" w:rsidRPr="007D6282" w:rsidRDefault="00E01D16" w:rsidP="00472368">
      <w:pPr>
        <w:jc w:val="both"/>
        <w:rPr>
          <w:lang w:val="en-GB"/>
        </w:rPr>
      </w:pPr>
    </w:p>
    <w:p w:rsidR="003E36A3" w:rsidRPr="007D6282" w:rsidRDefault="003E36A3" w:rsidP="00472368">
      <w:pPr>
        <w:jc w:val="both"/>
      </w:pPr>
      <w:r>
        <w:t>Om nauwere samenwerking tussen het CvdR en DG EMPL tot stand te brengen, kunnen de volgende aanvullende maatregelen worden overwogen:</w:t>
      </w:r>
    </w:p>
    <w:p w:rsidR="005B2DC3" w:rsidRPr="007D6282" w:rsidRDefault="005B2DC3" w:rsidP="00472368">
      <w:pPr>
        <w:jc w:val="both"/>
        <w:rPr>
          <w:lang w:val="en-GB"/>
        </w:rPr>
      </w:pPr>
    </w:p>
    <w:p w:rsidR="003E36A3" w:rsidRPr="007D6282" w:rsidRDefault="007A1EBE" w:rsidP="00472368">
      <w:pPr>
        <w:pStyle w:val="ListParagraph"/>
        <w:numPr>
          <w:ilvl w:val="0"/>
          <w:numId w:val="17"/>
        </w:numPr>
        <w:spacing w:after="0" w:line="288" w:lineRule="auto"/>
        <w:ind w:left="357" w:hanging="357"/>
        <w:jc w:val="both"/>
      </w:pPr>
      <w:r>
        <w:rPr>
          <w:rFonts w:ascii="Times New Roman" w:hAnsi="Times New Roman"/>
        </w:rPr>
        <w:t>regelmatige beleidsdialoog – tijdens de voltallige vergadering van het CvdR en tijdens de vergaderingen van de commissie SEDEC;</w:t>
      </w:r>
    </w:p>
    <w:p w:rsidR="003E36A3" w:rsidRPr="007D6282" w:rsidRDefault="007A1EBE" w:rsidP="00472368">
      <w:pPr>
        <w:pStyle w:val="ListParagraph"/>
        <w:numPr>
          <w:ilvl w:val="0"/>
          <w:numId w:val="17"/>
        </w:numPr>
        <w:spacing w:after="0" w:line="288" w:lineRule="auto"/>
        <w:ind w:left="357" w:hanging="357"/>
        <w:jc w:val="both"/>
      </w:pPr>
      <w:r>
        <w:rPr>
          <w:rFonts w:ascii="Times New Roman" w:hAnsi="Times New Roman"/>
        </w:rPr>
        <w:t>de deelname van CvdR-leden en -rapporteurs aan door DG EMPL georganiseerde conferenties en evenementen overwegen wanneer de lokale en regionale invalshoek een meerwaarde oplevert;</w:t>
      </w:r>
    </w:p>
    <w:p w:rsidR="003E36A3" w:rsidRPr="007D6282" w:rsidRDefault="007A1EBE" w:rsidP="00472368">
      <w:pPr>
        <w:pStyle w:val="ListParagraph"/>
        <w:numPr>
          <w:ilvl w:val="0"/>
          <w:numId w:val="17"/>
        </w:numPr>
        <w:spacing w:after="0" w:line="288" w:lineRule="auto"/>
        <w:ind w:left="357" w:hanging="357"/>
        <w:jc w:val="both"/>
      </w:pPr>
      <w:r>
        <w:rPr>
          <w:rFonts w:ascii="Times New Roman" w:hAnsi="Times New Roman"/>
        </w:rPr>
        <w:t>de CvdR-leden op verzoek op de hoogte brengen van beschikbare EU-financiering en -beleidsondersteuning om te tonen hoe de EU regio’s en steden kan helpen bij de groene en de digitale transitie;</w:t>
      </w:r>
    </w:p>
    <w:p w:rsidR="002E7C63" w:rsidRPr="007D6282" w:rsidRDefault="007A1EBE" w:rsidP="00472368">
      <w:pPr>
        <w:pStyle w:val="ListParagraph"/>
        <w:numPr>
          <w:ilvl w:val="0"/>
          <w:numId w:val="17"/>
        </w:numPr>
        <w:spacing w:after="0" w:line="288" w:lineRule="auto"/>
        <w:ind w:left="357" w:hanging="357"/>
        <w:jc w:val="both"/>
      </w:pPr>
      <w:r>
        <w:rPr>
          <w:rFonts w:ascii="Times New Roman" w:hAnsi="Times New Roman"/>
        </w:rPr>
        <w:t>waar passend gezamenlijke communicatiemaatregelen verkennen;</w:t>
      </w:r>
    </w:p>
    <w:p w:rsidR="006D7CA9" w:rsidRPr="007D6282" w:rsidRDefault="007A1EBE" w:rsidP="00472368">
      <w:pPr>
        <w:pStyle w:val="ListParagraph"/>
        <w:numPr>
          <w:ilvl w:val="0"/>
          <w:numId w:val="17"/>
        </w:numPr>
        <w:spacing w:after="0" w:line="288" w:lineRule="auto"/>
        <w:ind w:left="357" w:hanging="357"/>
        <w:jc w:val="both"/>
      </w:pPr>
      <w:r>
        <w:t>synergieën verkennen met initiatieven van andere DG’s, zoals het S3-thematische platform voor industriële modernisering inzake sociale economie (</w:t>
      </w:r>
      <w:hyperlink r:id="rId15" w:history="1">
        <w:r>
          <w:rPr>
            <w:rStyle w:val="Hyperlink"/>
            <w:rFonts w:ascii="Times New Roman" w:hAnsi="Times New Roman"/>
          </w:rPr>
          <w:t>https://s3platform.jrc.ec.europa.eu/social-economy</w:t>
        </w:r>
      </w:hyperlink>
      <w:r>
        <w:t>).</w:t>
      </w:r>
    </w:p>
    <w:p w:rsidR="006D7CA9" w:rsidRPr="007D6282" w:rsidRDefault="006D7CA9" w:rsidP="00472368">
      <w:pPr>
        <w:jc w:val="both"/>
        <w:rPr>
          <w:lang w:val="en-GB"/>
        </w:rPr>
      </w:pPr>
    </w:p>
    <w:p w:rsidR="006D7CA9" w:rsidRPr="007D6282" w:rsidRDefault="0068468C" w:rsidP="00472368">
      <w:pPr>
        <w:pStyle w:val="Heading1"/>
        <w:jc w:val="both"/>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 xml:space="preserve">4. </w:t>
      </w:r>
      <w:r>
        <w:rPr>
          <w:rFonts w:ascii="Times New Roman" w:hAnsi="Times New Roman"/>
          <w:b/>
          <w:color w:val="000000" w:themeColor="text1"/>
          <w:sz w:val="24"/>
          <w:szCs w:val="24"/>
        </w:rPr>
        <w:tab/>
        <w:t>Volgende stappen:</w:t>
      </w:r>
    </w:p>
    <w:p w:rsidR="006D7CA9" w:rsidRPr="007D6282" w:rsidRDefault="006D7CA9" w:rsidP="00472368">
      <w:pPr>
        <w:keepNext/>
        <w:jc w:val="both"/>
        <w:rPr>
          <w:lang w:val="en-GB"/>
        </w:rPr>
      </w:pPr>
    </w:p>
    <w:p w:rsidR="000F448C" w:rsidRPr="003814FB" w:rsidRDefault="00DC0DF4" w:rsidP="00472368">
      <w:pPr>
        <w:jc w:val="both"/>
      </w:pPr>
      <w:r>
        <w:t>Zowel DG EMPL als het CvdR zullen contactpersonen aanduiden om het concept en de voorwaarden voor de organisatie van “Europese lokale banenbeurzen” nader uit te werken en een vlotte samenwerking en coördinatie van acties op administratief niveau te verzekeren.</w:t>
      </w:r>
    </w:p>
    <w:sectPr w:rsidR="000F448C" w:rsidRPr="003814FB" w:rsidSect="003831AE">
      <w:footerReference w:type="default" r:id="rId16"/>
      <w:pgSz w:w="11906" w:h="16838"/>
      <w:pgMar w:top="1417" w:right="1417" w:bottom="1417" w:left="1417"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8C63B" w16cex:dateUtc="2020-08-20T07:51:00Z"/>
  <w16cex:commentExtensible w16cex:durableId="22E8C6C8" w16cex:dateUtc="2020-08-20T07:54:00Z"/>
  <w16cex:commentExtensible w16cex:durableId="22E8C78A" w16cex:dateUtc="2020-08-20T07:57:00Z"/>
  <w16cex:commentExtensible w16cex:durableId="22E8CDF2" w16cex:dateUtc="2020-08-20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440FE8" w16cid:durableId="22E8C63B"/>
  <w16cid:commentId w16cid:paraId="7CC3FC94" w16cid:durableId="22E8C6C8"/>
  <w16cid:commentId w16cid:paraId="1E5534BC" w16cid:durableId="22ED245B"/>
  <w16cid:commentId w16cid:paraId="1847A8FA" w16cid:durableId="22E8C78A"/>
  <w16cid:commentId w16cid:paraId="69CE8917" w16cid:durableId="22E771BD"/>
  <w16cid:commentId w16cid:paraId="29D3282F" w16cid:durableId="22E8CD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784" w:rsidRDefault="00683784" w:rsidP="007E71D2">
      <w:pPr>
        <w:spacing w:line="240" w:lineRule="auto"/>
      </w:pPr>
      <w:r>
        <w:separator/>
      </w:r>
    </w:p>
  </w:endnote>
  <w:endnote w:type="continuationSeparator" w:id="0">
    <w:p w:rsidR="00683784" w:rsidRDefault="00683784" w:rsidP="007E71D2">
      <w:pPr>
        <w:spacing w:line="240" w:lineRule="auto"/>
      </w:pPr>
      <w:r>
        <w:continuationSeparator/>
      </w:r>
    </w:p>
  </w:endnote>
  <w:endnote w:type="continuationNotice" w:id="1">
    <w:p w:rsidR="00683784" w:rsidRDefault="006837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022340"/>
      <w:docPartObj>
        <w:docPartGallery w:val="Page Numbers (Bottom of Page)"/>
        <w:docPartUnique/>
      </w:docPartObj>
    </w:sdtPr>
    <w:sdtEndPr>
      <w:rPr>
        <w:noProof/>
      </w:rPr>
    </w:sdtEndPr>
    <w:sdtContent>
      <w:p w:rsidR="00EB2F01" w:rsidRDefault="00EB2F01" w:rsidP="007D6282">
        <w:pPr>
          <w:pStyle w:val="Footer"/>
          <w:jc w:val="center"/>
        </w:pPr>
        <w:r>
          <w:fldChar w:fldCharType="begin"/>
        </w:r>
        <w:r>
          <w:instrText xml:space="preserve"> PAGE   \* MERGEFORMAT </w:instrText>
        </w:r>
        <w:r>
          <w:fldChar w:fldCharType="separate"/>
        </w:r>
        <w:r w:rsidR="00472368">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784" w:rsidRDefault="00683784" w:rsidP="007E71D2">
      <w:pPr>
        <w:spacing w:line="240" w:lineRule="auto"/>
      </w:pPr>
      <w:r>
        <w:separator/>
      </w:r>
    </w:p>
  </w:footnote>
  <w:footnote w:type="continuationSeparator" w:id="0">
    <w:p w:rsidR="00683784" w:rsidRDefault="00683784" w:rsidP="007E71D2">
      <w:pPr>
        <w:spacing w:line="240" w:lineRule="auto"/>
      </w:pPr>
      <w:r>
        <w:continuationSeparator/>
      </w:r>
    </w:p>
  </w:footnote>
  <w:footnote w:type="continuationNotice" w:id="1">
    <w:p w:rsidR="00683784" w:rsidRDefault="00683784">
      <w:pPr>
        <w:spacing w:line="240" w:lineRule="auto"/>
      </w:pPr>
    </w:p>
  </w:footnote>
  <w:footnote w:id="2">
    <w:p w:rsidR="00EB2F01" w:rsidRPr="007D6282" w:rsidRDefault="00EB2F01" w:rsidP="00C82EBC">
      <w:pPr>
        <w:pStyle w:val="FootnoteText"/>
        <w:tabs>
          <w:tab w:val="left" w:pos="567"/>
        </w:tabs>
        <w:rPr>
          <w:sz w:val="16"/>
          <w:szCs w:val="16"/>
        </w:rPr>
      </w:pPr>
      <w:r>
        <w:rPr>
          <w:rStyle w:val="FootnoteReference"/>
          <w:sz w:val="24"/>
          <w:szCs w:val="24"/>
        </w:rPr>
        <w:footnoteRef/>
      </w:r>
      <w:r>
        <w:t xml:space="preserve"> </w:t>
      </w:r>
      <w:r>
        <w:tab/>
      </w:r>
      <w:hyperlink r:id="rId1" w:history="1">
        <w:r>
          <w:rPr>
            <w:rStyle w:val="Hyperlink"/>
            <w:sz w:val="16"/>
            <w:szCs w:val="16"/>
          </w:rPr>
          <w:t>https://ec.europa.eu/commission/sites/beta-political/files/reflection-paper-social-dimension-europe_nl.pdf</w:t>
        </w:r>
      </w:hyperlink>
    </w:p>
  </w:footnote>
  <w:footnote w:id="3">
    <w:p w:rsidR="00EB2F01" w:rsidRPr="007D6282" w:rsidRDefault="00EB2F01" w:rsidP="007D6282">
      <w:pPr>
        <w:pStyle w:val="FootnoteText"/>
        <w:tabs>
          <w:tab w:val="left" w:pos="567"/>
        </w:tabs>
        <w:rPr>
          <w:sz w:val="16"/>
          <w:szCs w:val="16"/>
        </w:rPr>
      </w:pPr>
      <w:r>
        <w:rPr>
          <w:rStyle w:val="FootnoteReference"/>
          <w:sz w:val="24"/>
          <w:szCs w:val="24"/>
        </w:rPr>
        <w:footnoteRef/>
      </w:r>
      <w:r>
        <w:t xml:space="preserve"> </w:t>
      </w:r>
      <w:r>
        <w:tab/>
      </w:r>
      <w:hyperlink r:id="rId2" w:history="1">
        <w:r>
          <w:rPr>
            <w:rStyle w:val="Hyperlink"/>
            <w:sz w:val="16"/>
            <w:szCs w:val="16"/>
          </w:rPr>
          <w:t>https://eur-lex.europa.eu/LexUriServ/LexUriServ.do?uri=OJ:C:2012:102:0006:0010:NL:PDF</w:t>
        </w:r>
      </w:hyperlink>
    </w:p>
  </w:footnote>
  <w:footnote w:id="4">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t xml:space="preserve"> </w:t>
      </w:r>
      <w:r>
        <w:tab/>
        <w:t>COM (2020) 447 final.</w:t>
      </w:r>
    </w:p>
  </w:footnote>
  <w:footnote w:id="5">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rStyle w:val="FootnoteReference"/>
          <w:sz w:val="24"/>
          <w:szCs w:val="24"/>
        </w:rPr>
        <w:t xml:space="preserve"> </w:t>
      </w:r>
      <w:r>
        <w:rPr>
          <w:sz w:val="16"/>
          <w:szCs w:val="16"/>
        </w:rPr>
        <w:tab/>
        <w:t>In de mededeling getiteld “Ondersteuning van de werkgelegenheid voor jongeren – Een brug naar banen voor de volgende generatie” (COM(2020) 276 final) heeft de Commissie er bij de lidstaten op aangedrongen de ondersteuning van de werkgelegenheid voor jongeren op te voeren en het niveau van de steun voor deze doelstelling te verhogen in vergelijking met de financieringsperiode 2014‑2020, die naar schatting 22 miljard EUR bedroeg.</w:t>
      </w:r>
    </w:p>
  </w:footnote>
  <w:footnote w:id="6">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t xml:space="preserve"> </w:t>
      </w:r>
      <w:r>
        <w:tab/>
        <w:t>Over de aanbeveling van de Raad inzake “Ondersteuning van de werkgelegenheid voor jongeren – Een brug naar banen voor de volgende generatie” is politieke overeenstemming bereikt in de Raad, en de aanbeveling zal voor eind 2020 worden aangenomen.</w:t>
      </w:r>
    </w:p>
  </w:footnote>
  <w:footnote w:id="7">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t xml:space="preserve"> </w:t>
      </w:r>
      <w:r>
        <w:tab/>
        <w:t>COM (2020) 276 final.</w:t>
      </w:r>
      <w:r>
        <w:rPr>
          <w:sz w:val="16"/>
          <w:szCs w:val="16"/>
        </w:rPr>
        <w:t xml:space="preserve"> </w:t>
      </w:r>
    </w:p>
  </w:footnote>
  <w:footnote w:id="8">
    <w:p w:rsidR="002867F1" w:rsidRPr="007D6282" w:rsidRDefault="002867F1">
      <w:pPr>
        <w:pStyle w:val="FootnoteText"/>
        <w:rPr>
          <w:sz w:val="16"/>
          <w:szCs w:val="16"/>
        </w:rPr>
      </w:pPr>
      <w:r>
        <w:rPr>
          <w:rStyle w:val="FootnoteReference"/>
          <w:sz w:val="24"/>
          <w:szCs w:val="24"/>
        </w:rPr>
        <w:footnoteRef/>
      </w:r>
      <w:r>
        <w:t xml:space="preserve"> </w:t>
      </w:r>
      <w:r>
        <w:tab/>
        <w:t>COM (2020) 274 final.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1C97EA"/>
    <w:lvl w:ilvl="0">
      <w:start w:val="1"/>
      <w:numFmt w:val="decimal"/>
      <w:lvlText w:val="%1."/>
      <w:legacy w:legacy="1" w:legacySpace="0"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egacy w:legacy="1" w:legacySpace="144" w:legacyIndent="0"/>
      <w:lvlJc w:val="left"/>
      <w:rPr>
        <w:b w:val="0"/>
      </w:rPr>
    </w:lvl>
    <w:lvl w:ilvl="2">
      <w:start w:val="1"/>
      <w:numFmt w:val="decimal"/>
      <w:lvlText w:val="%1.%2.%3"/>
      <w:legacy w:legacy="1" w:legacySpace="144" w:legacyIndent="0"/>
      <w:lvlJc w:val="left"/>
      <w:rPr>
        <w:b w: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75010D"/>
    <w:multiLevelType w:val="hybridMultilevel"/>
    <w:tmpl w:val="E924CD2E"/>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8E26D84"/>
    <w:multiLevelType w:val="hybridMultilevel"/>
    <w:tmpl w:val="3C9A2C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E10D59"/>
    <w:multiLevelType w:val="hybridMultilevel"/>
    <w:tmpl w:val="A8204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360DF6"/>
    <w:multiLevelType w:val="hybridMultilevel"/>
    <w:tmpl w:val="DEACE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637C1B"/>
    <w:multiLevelType w:val="hybridMultilevel"/>
    <w:tmpl w:val="DE22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794F"/>
    <w:multiLevelType w:val="hybridMultilevel"/>
    <w:tmpl w:val="2F448F7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16AF6D72"/>
    <w:multiLevelType w:val="hybridMultilevel"/>
    <w:tmpl w:val="0156BE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92E3ADF"/>
    <w:multiLevelType w:val="hybridMultilevel"/>
    <w:tmpl w:val="98846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4A2E0E"/>
    <w:multiLevelType w:val="hybridMultilevel"/>
    <w:tmpl w:val="077EC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FB3D22"/>
    <w:multiLevelType w:val="hybridMultilevel"/>
    <w:tmpl w:val="C8C49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0A0A3A"/>
    <w:multiLevelType w:val="hybridMultilevel"/>
    <w:tmpl w:val="19C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85706E"/>
    <w:multiLevelType w:val="hybridMultilevel"/>
    <w:tmpl w:val="2D3CA36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15:restartNumberingAfterBreak="0">
    <w:nsid w:val="27DF3DB0"/>
    <w:multiLevelType w:val="hybridMultilevel"/>
    <w:tmpl w:val="B432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90727B0"/>
    <w:multiLevelType w:val="hybridMultilevel"/>
    <w:tmpl w:val="67E07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D4864EC"/>
    <w:multiLevelType w:val="hybridMultilevel"/>
    <w:tmpl w:val="150CDC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30D35B15"/>
    <w:multiLevelType w:val="hybridMultilevel"/>
    <w:tmpl w:val="FC447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49C1308"/>
    <w:multiLevelType w:val="hybridMultilevel"/>
    <w:tmpl w:val="D716FD64"/>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1819A8"/>
    <w:multiLevelType w:val="hybridMultilevel"/>
    <w:tmpl w:val="D310C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DA2403"/>
    <w:multiLevelType w:val="hybridMultilevel"/>
    <w:tmpl w:val="8A4296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D9E1247"/>
    <w:multiLevelType w:val="hybridMultilevel"/>
    <w:tmpl w:val="1F4C3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414E37"/>
    <w:multiLevelType w:val="hybridMultilevel"/>
    <w:tmpl w:val="2C5C0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E36E80"/>
    <w:multiLevelType w:val="hybridMultilevel"/>
    <w:tmpl w:val="0E66A7FE"/>
    <w:lvl w:ilvl="0" w:tplc="0809000F">
      <w:start w:val="1"/>
      <w:numFmt w:val="decimal"/>
      <w:lvlText w:val="%1."/>
      <w:lvlJc w:val="left"/>
      <w:pPr>
        <w:ind w:left="360" w:hanging="360"/>
      </w:pPr>
    </w:lvl>
    <w:lvl w:ilvl="1" w:tplc="3CE6A304">
      <w:numFmt w:val="bullet"/>
      <w:lvlText w:val=""/>
      <w:lvlJc w:val="left"/>
      <w:pPr>
        <w:ind w:left="1080" w:hanging="360"/>
      </w:pPr>
      <w:rPr>
        <w:rFonts w:ascii="Times New Roman" w:eastAsia="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6351A38"/>
    <w:multiLevelType w:val="hybridMultilevel"/>
    <w:tmpl w:val="3162C3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85E14A5"/>
    <w:multiLevelType w:val="hybridMultilevel"/>
    <w:tmpl w:val="5CC67A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877317D"/>
    <w:multiLevelType w:val="hybridMultilevel"/>
    <w:tmpl w:val="6A885AB2"/>
    <w:lvl w:ilvl="0" w:tplc="3F1A2BB6">
      <w:start w:val="19"/>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10161A9"/>
    <w:multiLevelType w:val="hybridMultilevel"/>
    <w:tmpl w:val="9EE40B06"/>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E36C4"/>
    <w:multiLevelType w:val="hybridMultilevel"/>
    <w:tmpl w:val="8B62B0B8"/>
    <w:lvl w:ilvl="0" w:tplc="08090001">
      <w:start w:val="1"/>
      <w:numFmt w:val="bullet"/>
      <w:lvlText w:val=""/>
      <w:lvlJc w:val="left"/>
      <w:pPr>
        <w:ind w:left="720" w:hanging="360"/>
      </w:pPr>
      <w:rPr>
        <w:rFonts w:ascii="Symbol" w:hAnsi="Symbol"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59F14D7F"/>
    <w:multiLevelType w:val="hybridMultilevel"/>
    <w:tmpl w:val="7F2E71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F7E2FCA"/>
    <w:multiLevelType w:val="hybridMultilevel"/>
    <w:tmpl w:val="3446B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E70112"/>
    <w:multiLevelType w:val="hybridMultilevel"/>
    <w:tmpl w:val="93C8C5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BED3DA0"/>
    <w:multiLevelType w:val="hybridMultilevel"/>
    <w:tmpl w:val="CC325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F207D62"/>
    <w:multiLevelType w:val="hybridMultilevel"/>
    <w:tmpl w:val="BF525C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1825AC9"/>
    <w:multiLevelType w:val="hybridMultilevel"/>
    <w:tmpl w:val="2744D9E4"/>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FA460E"/>
    <w:multiLevelType w:val="multilevel"/>
    <w:tmpl w:val="C150BB92"/>
    <w:lvl w:ilvl="0">
      <w:start w:val="1"/>
      <w:numFmt w:val="decimal"/>
      <w:lvlText w:val="%1."/>
      <w:lvlJc w:val="left"/>
      <w:pPr>
        <w:ind w:left="360" w:hanging="360"/>
      </w:pPr>
      <w:rPr>
        <w:rFonts w:hint="default"/>
      </w:rPr>
    </w:lvl>
    <w:lvl w:ilvl="1">
      <w:start w:val="4"/>
      <w:numFmt w:val="decimal"/>
      <w:isLgl/>
      <w:lvlText w:val="%1.%2."/>
      <w:lvlJc w:val="left"/>
      <w:pPr>
        <w:ind w:left="570" w:hanging="57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7891A7C"/>
    <w:multiLevelType w:val="hybridMultilevel"/>
    <w:tmpl w:val="67280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15C8B"/>
    <w:multiLevelType w:val="hybridMultilevel"/>
    <w:tmpl w:val="3540373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78D84E72"/>
    <w:multiLevelType w:val="hybridMultilevel"/>
    <w:tmpl w:val="6D82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AA266CD"/>
    <w:multiLevelType w:val="hybridMultilevel"/>
    <w:tmpl w:val="8B2A6B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C424AAB"/>
    <w:multiLevelType w:val="hybridMultilevel"/>
    <w:tmpl w:val="768A0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CFD3F4A"/>
    <w:multiLevelType w:val="hybridMultilevel"/>
    <w:tmpl w:val="5144F4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DD351C0"/>
    <w:multiLevelType w:val="hybridMultilevel"/>
    <w:tmpl w:val="F27AE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8"/>
  </w:num>
  <w:num w:numId="4">
    <w:abstractNumId w:val="13"/>
  </w:num>
  <w:num w:numId="5">
    <w:abstractNumId w:val="31"/>
  </w:num>
  <w:num w:numId="6">
    <w:abstractNumId w:val="9"/>
  </w:num>
  <w:num w:numId="7">
    <w:abstractNumId w:val="8"/>
  </w:num>
  <w:num w:numId="8">
    <w:abstractNumId w:val="40"/>
  </w:num>
  <w:num w:numId="9">
    <w:abstractNumId w:val="15"/>
  </w:num>
  <w:num w:numId="10">
    <w:abstractNumId w:val="3"/>
  </w:num>
  <w:num w:numId="11">
    <w:abstractNumId w:val="30"/>
  </w:num>
  <w:num w:numId="12">
    <w:abstractNumId w:val="14"/>
  </w:num>
  <w:num w:numId="13">
    <w:abstractNumId w:val="36"/>
  </w:num>
  <w:num w:numId="14">
    <w:abstractNumId w:val="27"/>
  </w:num>
  <w:num w:numId="15">
    <w:abstractNumId w:val="2"/>
  </w:num>
  <w:num w:numId="16">
    <w:abstractNumId w:val="22"/>
  </w:num>
  <w:num w:numId="17">
    <w:abstractNumId w:val="12"/>
  </w:num>
  <w:num w:numId="18">
    <w:abstractNumId w:val="25"/>
  </w:num>
  <w:num w:numId="19">
    <w:abstractNumId w:val="20"/>
  </w:num>
  <w:num w:numId="20">
    <w:abstractNumId w:val="23"/>
  </w:num>
  <w:num w:numId="21">
    <w:abstractNumId w:val="21"/>
  </w:num>
  <w:num w:numId="22">
    <w:abstractNumId w:val="34"/>
  </w:num>
  <w:num w:numId="23">
    <w:abstractNumId w:val="5"/>
  </w:num>
  <w:num w:numId="24">
    <w:abstractNumId w:val="16"/>
  </w:num>
  <w:num w:numId="25">
    <w:abstractNumId w:val="17"/>
  </w:num>
  <w:num w:numId="26">
    <w:abstractNumId w:val="35"/>
  </w:num>
  <w:num w:numId="27">
    <w:abstractNumId w:val="11"/>
  </w:num>
  <w:num w:numId="28">
    <w:abstractNumId w:val="26"/>
  </w:num>
  <w:num w:numId="29">
    <w:abstractNumId w:val="33"/>
  </w:num>
  <w:num w:numId="30">
    <w:abstractNumId w:val="32"/>
  </w:num>
  <w:num w:numId="31">
    <w:abstractNumId w:val="7"/>
  </w:num>
  <w:num w:numId="32">
    <w:abstractNumId w:val="38"/>
  </w:num>
  <w:num w:numId="33">
    <w:abstractNumId w:val="29"/>
  </w:num>
  <w:num w:numId="34">
    <w:abstractNumId w:val="24"/>
  </w:num>
  <w:num w:numId="35">
    <w:abstractNumId w:val="28"/>
  </w:num>
  <w:num w:numId="36">
    <w:abstractNumId w:val="41"/>
  </w:num>
  <w:num w:numId="37">
    <w:abstractNumId w:val="6"/>
  </w:num>
  <w:num w:numId="38">
    <w:abstractNumId w:val="37"/>
  </w:num>
  <w:num w:numId="39">
    <w:abstractNumId w:val="39"/>
  </w:num>
  <w:num w:numId="40">
    <w:abstractNumId w:val="19"/>
  </w:num>
  <w:num w:numId="41">
    <w:abstractNumId w:val="10"/>
  </w:num>
  <w:num w:numId="42">
    <w:abstractNumId w:val="4"/>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2285A"/>
    <w:rsid w:val="000115F3"/>
    <w:rsid w:val="00014693"/>
    <w:rsid w:val="00014E6A"/>
    <w:rsid w:val="0001607A"/>
    <w:rsid w:val="0002399B"/>
    <w:rsid w:val="00025C0A"/>
    <w:rsid w:val="00032B76"/>
    <w:rsid w:val="00034B02"/>
    <w:rsid w:val="00041D24"/>
    <w:rsid w:val="00046905"/>
    <w:rsid w:val="0005130E"/>
    <w:rsid w:val="00052C63"/>
    <w:rsid w:val="00052CB0"/>
    <w:rsid w:val="00053254"/>
    <w:rsid w:val="00053923"/>
    <w:rsid w:val="0005456E"/>
    <w:rsid w:val="00067F05"/>
    <w:rsid w:val="00081341"/>
    <w:rsid w:val="00092FB6"/>
    <w:rsid w:val="000938C4"/>
    <w:rsid w:val="000A0D57"/>
    <w:rsid w:val="000A676E"/>
    <w:rsid w:val="000A7400"/>
    <w:rsid w:val="000B6015"/>
    <w:rsid w:val="000B6528"/>
    <w:rsid w:val="000D7781"/>
    <w:rsid w:val="000F034A"/>
    <w:rsid w:val="000F3666"/>
    <w:rsid w:val="000F448C"/>
    <w:rsid w:val="0010024D"/>
    <w:rsid w:val="00100433"/>
    <w:rsid w:val="00122601"/>
    <w:rsid w:val="001303C7"/>
    <w:rsid w:val="00131BAD"/>
    <w:rsid w:val="00133C10"/>
    <w:rsid w:val="00135709"/>
    <w:rsid w:val="00141B6A"/>
    <w:rsid w:val="001508E5"/>
    <w:rsid w:val="00150CCB"/>
    <w:rsid w:val="00151730"/>
    <w:rsid w:val="00161FA6"/>
    <w:rsid w:val="00162E43"/>
    <w:rsid w:val="00164507"/>
    <w:rsid w:val="00164C40"/>
    <w:rsid w:val="00165C5A"/>
    <w:rsid w:val="00170B9B"/>
    <w:rsid w:val="00176CAE"/>
    <w:rsid w:val="0018679E"/>
    <w:rsid w:val="00192316"/>
    <w:rsid w:val="00194608"/>
    <w:rsid w:val="001A2814"/>
    <w:rsid w:val="001A2928"/>
    <w:rsid w:val="001A2D75"/>
    <w:rsid w:val="001B3DE5"/>
    <w:rsid w:val="001B62E2"/>
    <w:rsid w:val="001C24E4"/>
    <w:rsid w:val="001C2739"/>
    <w:rsid w:val="001D1C58"/>
    <w:rsid w:val="001D49B1"/>
    <w:rsid w:val="001D6B54"/>
    <w:rsid w:val="001D7401"/>
    <w:rsid w:val="001E18B4"/>
    <w:rsid w:val="001F20A4"/>
    <w:rsid w:val="00202FA0"/>
    <w:rsid w:val="00206C91"/>
    <w:rsid w:val="00207F48"/>
    <w:rsid w:val="002143E7"/>
    <w:rsid w:val="00216B6A"/>
    <w:rsid w:val="00221331"/>
    <w:rsid w:val="002302EF"/>
    <w:rsid w:val="0023381A"/>
    <w:rsid w:val="00234ED5"/>
    <w:rsid w:val="0023752B"/>
    <w:rsid w:val="00237BCF"/>
    <w:rsid w:val="00256E2E"/>
    <w:rsid w:val="00256F0C"/>
    <w:rsid w:val="002574BD"/>
    <w:rsid w:val="00267B85"/>
    <w:rsid w:val="00275FB7"/>
    <w:rsid w:val="00276AF1"/>
    <w:rsid w:val="00283BCC"/>
    <w:rsid w:val="002849B5"/>
    <w:rsid w:val="002867F1"/>
    <w:rsid w:val="00297A95"/>
    <w:rsid w:val="002C2A13"/>
    <w:rsid w:val="002D435E"/>
    <w:rsid w:val="002D4474"/>
    <w:rsid w:val="002D687E"/>
    <w:rsid w:val="002D78A2"/>
    <w:rsid w:val="002E4558"/>
    <w:rsid w:val="002E7C63"/>
    <w:rsid w:val="00302240"/>
    <w:rsid w:val="003179F6"/>
    <w:rsid w:val="0032643C"/>
    <w:rsid w:val="00330D7D"/>
    <w:rsid w:val="00343863"/>
    <w:rsid w:val="00356DF4"/>
    <w:rsid w:val="00360D28"/>
    <w:rsid w:val="00363E4E"/>
    <w:rsid w:val="0038092C"/>
    <w:rsid w:val="00381051"/>
    <w:rsid w:val="003814FB"/>
    <w:rsid w:val="003825D2"/>
    <w:rsid w:val="003831AE"/>
    <w:rsid w:val="00394636"/>
    <w:rsid w:val="00397E5D"/>
    <w:rsid w:val="003A17FB"/>
    <w:rsid w:val="003B12A8"/>
    <w:rsid w:val="003C1C84"/>
    <w:rsid w:val="003C2756"/>
    <w:rsid w:val="003C6A76"/>
    <w:rsid w:val="003D208F"/>
    <w:rsid w:val="003D64D4"/>
    <w:rsid w:val="003E0FE7"/>
    <w:rsid w:val="003E36A3"/>
    <w:rsid w:val="003F310F"/>
    <w:rsid w:val="00416589"/>
    <w:rsid w:val="00416F28"/>
    <w:rsid w:val="00421A56"/>
    <w:rsid w:val="00422DE3"/>
    <w:rsid w:val="00455FAA"/>
    <w:rsid w:val="00457987"/>
    <w:rsid w:val="004672CD"/>
    <w:rsid w:val="00467B9B"/>
    <w:rsid w:val="00472368"/>
    <w:rsid w:val="00474C1C"/>
    <w:rsid w:val="004817E9"/>
    <w:rsid w:val="00481BB3"/>
    <w:rsid w:val="00483C2D"/>
    <w:rsid w:val="0049793A"/>
    <w:rsid w:val="004A63B0"/>
    <w:rsid w:val="004C08B7"/>
    <w:rsid w:val="004C40A8"/>
    <w:rsid w:val="004D5A56"/>
    <w:rsid w:val="004D6DCD"/>
    <w:rsid w:val="004D765D"/>
    <w:rsid w:val="004E1969"/>
    <w:rsid w:val="004E394E"/>
    <w:rsid w:val="004E6147"/>
    <w:rsid w:val="004E6536"/>
    <w:rsid w:val="004E71CD"/>
    <w:rsid w:val="004F3E8B"/>
    <w:rsid w:val="004F4966"/>
    <w:rsid w:val="004F6D31"/>
    <w:rsid w:val="00501E02"/>
    <w:rsid w:val="00504067"/>
    <w:rsid w:val="00512960"/>
    <w:rsid w:val="00516393"/>
    <w:rsid w:val="0051715E"/>
    <w:rsid w:val="00520210"/>
    <w:rsid w:val="0052074E"/>
    <w:rsid w:val="00523C75"/>
    <w:rsid w:val="00527019"/>
    <w:rsid w:val="005366D6"/>
    <w:rsid w:val="00541BE3"/>
    <w:rsid w:val="00542BFC"/>
    <w:rsid w:val="00544F9B"/>
    <w:rsid w:val="00545845"/>
    <w:rsid w:val="00546AEC"/>
    <w:rsid w:val="00551DF1"/>
    <w:rsid w:val="00557917"/>
    <w:rsid w:val="005708AD"/>
    <w:rsid w:val="00574134"/>
    <w:rsid w:val="005810D1"/>
    <w:rsid w:val="00583165"/>
    <w:rsid w:val="00591229"/>
    <w:rsid w:val="005977FF"/>
    <w:rsid w:val="00597990"/>
    <w:rsid w:val="005A4DE6"/>
    <w:rsid w:val="005B2DC3"/>
    <w:rsid w:val="005B3884"/>
    <w:rsid w:val="005C55D6"/>
    <w:rsid w:val="005D06A9"/>
    <w:rsid w:val="005D5EB3"/>
    <w:rsid w:val="005E422E"/>
    <w:rsid w:val="00600069"/>
    <w:rsid w:val="00601828"/>
    <w:rsid w:val="006106B7"/>
    <w:rsid w:val="0062568E"/>
    <w:rsid w:val="00637313"/>
    <w:rsid w:val="006475F5"/>
    <w:rsid w:val="00651753"/>
    <w:rsid w:val="00662DAD"/>
    <w:rsid w:val="00680D0A"/>
    <w:rsid w:val="00683784"/>
    <w:rsid w:val="0068468C"/>
    <w:rsid w:val="00685424"/>
    <w:rsid w:val="00690EA1"/>
    <w:rsid w:val="006A0A27"/>
    <w:rsid w:val="006A3AC8"/>
    <w:rsid w:val="006A6308"/>
    <w:rsid w:val="006C313B"/>
    <w:rsid w:val="006C7232"/>
    <w:rsid w:val="006D03C7"/>
    <w:rsid w:val="006D7CA9"/>
    <w:rsid w:val="006E239E"/>
    <w:rsid w:val="006E25E8"/>
    <w:rsid w:val="006E2F96"/>
    <w:rsid w:val="006E637D"/>
    <w:rsid w:val="006F05D5"/>
    <w:rsid w:val="006F1412"/>
    <w:rsid w:val="00707604"/>
    <w:rsid w:val="00713D60"/>
    <w:rsid w:val="0072116E"/>
    <w:rsid w:val="00721DAE"/>
    <w:rsid w:val="0072285A"/>
    <w:rsid w:val="00727544"/>
    <w:rsid w:val="00733ED3"/>
    <w:rsid w:val="0073453E"/>
    <w:rsid w:val="00735CF1"/>
    <w:rsid w:val="0074046E"/>
    <w:rsid w:val="00760515"/>
    <w:rsid w:val="007753DD"/>
    <w:rsid w:val="00777281"/>
    <w:rsid w:val="00777E8D"/>
    <w:rsid w:val="007905B1"/>
    <w:rsid w:val="007923D6"/>
    <w:rsid w:val="00795798"/>
    <w:rsid w:val="007A1EBE"/>
    <w:rsid w:val="007A4C60"/>
    <w:rsid w:val="007C4B51"/>
    <w:rsid w:val="007D5468"/>
    <w:rsid w:val="007D6282"/>
    <w:rsid w:val="007D78B0"/>
    <w:rsid w:val="007E1479"/>
    <w:rsid w:val="007E71D2"/>
    <w:rsid w:val="007F06FE"/>
    <w:rsid w:val="007F2CBE"/>
    <w:rsid w:val="00802BB6"/>
    <w:rsid w:val="00812835"/>
    <w:rsid w:val="00813159"/>
    <w:rsid w:val="00813175"/>
    <w:rsid w:val="0081584B"/>
    <w:rsid w:val="00816F4D"/>
    <w:rsid w:val="00824102"/>
    <w:rsid w:val="0082432A"/>
    <w:rsid w:val="008334CE"/>
    <w:rsid w:val="00834904"/>
    <w:rsid w:val="00843D2C"/>
    <w:rsid w:val="00844255"/>
    <w:rsid w:val="00862342"/>
    <w:rsid w:val="00864E4E"/>
    <w:rsid w:val="008707AC"/>
    <w:rsid w:val="00873D31"/>
    <w:rsid w:val="0087706E"/>
    <w:rsid w:val="008839C1"/>
    <w:rsid w:val="008911F1"/>
    <w:rsid w:val="00892F78"/>
    <w:rsid w:val="0089643A"/>
    <w:rsid w:val="008B149E"/>
    <w:rsid w:val="008C0E34"/>
    <w:rsid w:val="008C4469"/>
    <w:rsid w:val="008D2AB3"/>
    <w:rsid w:val="008D4711"/>
    <w:rsid w:val="008D5638"/>
    <w:rsid w:val="008E118B"/>
    <w:rsid w:val="008F79F2"/>
    <w:rsid w:val="00900A36"/>
    <w:rsid w:val="009049AD"/>
    <w:rsid w:val="00905E0B"/>
    <w:rsid w:val="00913EFC"/>
    <w:rsid w:val="0092426C"/>
    <w:rsid w:val="009243B3"/>
    <w:rsid w:val="00934DE3"/>
    <w:rsid w:val="009521C5"/>
    <w:rsid w:val="009556D1"/>
    <w:rsid w:val="00955CC3"/>
    <w:rsid w:val="00956A7E"/>
    <w:rsid w:val="0096073F"/>
    <w:rsid w:val="00963831"/>
    <w:rsid w:val="00963907"/>
    <w:rsid w:val="00963CAE"/>
    <w:rsid w:val="00964812"/>
    <w:rsid w:val="00966530"/>
    <w:rsid w:val="00975F99"/>
    <w:rsid w:val="00980663"/>
    <w:rsid w:val="009A26F3"/>
    <w:rsid w:val="009A3B0A"/>
    <w:rsid w:val="009A6986"/>
    <w:rsid w:val="009B4D06"/>
    <w:rsid w:val="009D4BA6"/>
    <w:rsid w:val="009D61A0"/>
    <w:rsid w:val="009E1D16"/>
    <w:rsid w:val="009F12EC"/>
    <w:rsid w:val="00A01F44"/>
    <w:rsid w:val="00A10939"/>
    <w:rsid w:val="00A1673A"/>
    <w:rsid w:val="00A22BE1"/>
    <w:rsid w:val="00A22F3A"/>
    <w:rsid w:val="00A23EB5"/>
    <w:rsid w:val="00A26CF2"/>
    <w:rsid w:val="00A27344"/>
    <w:rsid w:val="00A3011E"/>
    <w:rsid w:val="00A31CB4"/>
    <w:rsid w:val="00A3420D"/>
    <w:rsid w:val="00A374F6"/>
    <w:rsid w:val="00A44404"/>
    <w:rsid w:val="00A44C00"/>
    <w:rsid w:val="00A571FB"/>
    <w:rsid w:val="00A60CBD"/>
    <w:rsid w:val="00A627FF"/>
    <w:rsid w:val="00A6794C"/>
    <w:rsid w:val="00AA0A34"/>
    <w:rsid w:val="00AC32BD"/>
    <w:rsid w:val="00AE25ED"/>
    <w:rsid w:val="00AE28C2"/>
    <w:rsid w:val="00AF2098"/>
    <w:rsid w:val="00AF3183"/>
    <w:rsid w:val="00B00737"/>
    <w:rsid w:val="00B102D3"/>
    <w:rsid w:val="00B106AE"/>
    <w:rsid w:val="00B2663E"/>
    <w:rsid w:val="00B322C0"/>
    <w:rsid w:val="00B34D34"/>
    <w:rsid w:val="00B40809"/>
    <w:rsid w:val="00B439B5"/>
    <w:rsid w:val="00B64CF9"/>
    <w:rsid w:val="00B65A9B"/>
    <w:rsid w:val="00B7123C"/>
    <w:rsid w:val="00B82791"/>
    <w:rsid w:val="00B84141"/>
    <w:rsid w:val="00B84E8E"/>
    <w:rsid w:val="00B8537F"/>
    <w:rsid w:val="00B85A43"/>
    <w:rsid w:val="00B8636D"/>
    <w:rsid w:val="00B8680B"/>
    <w:rsid w:val="00B87B5D"/>
    <w:rsid w:val="00B9336C"/>
    <w:rsid w:val="00BA1F92"/>
    <w:rsid w:val="00BB1B45"/>
    <w:rsid w:val="00BB2C93"/>
    <w:rsid w:val="00BB429C"/>
    <w:rsid w:val="00BB7CA9"/>
    <w:rsid w:val="00BC2F4F"/>
    <w:rsid w:val="00BC4DFB"/>
    <w:rsid w:val="00BD1A92"/>
    <w:rsid w:val="00BD5B75"/>
    <w:rsid w:val="00BE04A0"/>
    <w:rsid w:val="00BE4728"/>
    <w:rsid w:val="00BE4BA0"/>
    <w:rsid w:val="00C01120"/>
    <w:rsid w:val="00C01839"/>
    <w:rsid w:val="00C041EB"/>
    <w:rsid w:val="00C06CC1"/>
    <w:rsid w:val="00C06DC9"/>
    <w:rsid w:val="00C075AB"/>
    <w:rsid w:val="00C20C91"/>
    <w:rsid w:val="00C318C3"/>
    <w:rsid w:val="00C34231"/>
    <w:rsid w:val="00C35ACB"/>
    <w:rsid w:val="00C51CDC"/>
    <w:rsid w:val="00C608E8"/>
    <w:rsid w:val="00C62953"/>
    <w:rsid w:val="00C641F3"/>
    <w:rsid w:val="00C66625"/>
    <w:rsid w:val="00C6742B"/>
    <w:rsid w:val="00C75BF9"/>
    <w:rsid w:val="00C805EF"/>
    <w:rsid w:val="00C82EBC"/>
    <w:rsid w:val="00C84735"/>
    <w:rsid w:val="00C945EC"/>
    <w:rsid w:val="00C97045"/>
    <w:rsid w:val="00CA1F75"/>
    <w:rsid w:val="00CA2769"/>
    <w:rsid w:val="00CA5888"/>
    <w:rsid w:val="00CB01B5"/>
    <w:rsid w:val="00CB40F6"/>
    <w:rsid w:val="00CB59AB"/>
    <w:rsid w:val="00CB78E1"/>
    <w:rsid w:val="00CC0748"/>
    <w:rsid w:val="00CC2877"/>
    <w:rsid w:val="00CE0C02"/>
    <w:rsid w:val="00CE3FF6"/>
    <w:rsid w:val="00CE5349"/>
    <w:rsid w:val="00CE6161"/>
    <w:rsid w:val="00CE647D"/>
    <w:rsid w:val="00CF62BC"/>
    <w:rsid w:val="00D05EFB"/>
    <w:rsid w:val="00D21912"/>
    <w:rsid w:val="00D23217"/>
    <w:rsid w:val="00D2347B"/>
    <w:rsid w:val="00D30FFF"/>
    <w:rsid w:val="00D42921"/>
    <w:rsid w:val="00D46EE1"/>
    <w:rsid w:val="00D60C7D"/>
    <w:rsid w:val="00D62509"/>
    <w:rsid w:val="00D73854"/>
    <w:rsid w:val="00D83929"/>
    <w:rsid w:val="00D92803"/>
    <w:rsid w:val="00D95224"/>
    <w:rsid w:val="00D96749"/>
    <w:rsid w:val="00D970BA"/>
    <w:rsid w:val="00DA6BFC"/>
    <w:rsid w:val="00DC0DF4"/>
    <w:rsid w:val="00DC10FC"/>
    <w:rsid w:val="00DC130C"/>
    <w:rsid w:val="00DC5206"/>
    <w:rsid w:val="00DD5024"/>
    <w:rsid w:val="00DD6575"/>
    <w:rsid w:val="00DE0EAA"/>
    <w:rsid w:val="00DF7306"/>
    <w:rsid w:val="00E01C1B"/>
    <w:rsid w:val="00E01D16"/>
    <w:rsid w:val="00E02AB5"/>
    <w:rsid w:val="00E040F8"/>
    <w:rsid w:val="00E0617C"/>
    <w:rsid w:val="00E12B0B"/>
    <w:rsid w:val="00E136C4"/>
    <w:rsid w:val="00E15129"/>
    <w:rsid w:val="00E1591B"/>
    <w:rsid w:val="00E35306"/>
    <w:rsid w:val="00E3553B"/>
    <w:rsid w:val="00E416E1"/>
    <w:rsid w:val="00E437FD"/>
    <w:rsid w:val="00E44082"/>
    <w:rsid w:val="00E46B57"/>
    <w:rsid w:val="00E555CA"/>
    <w:rsid w:val="00E56486"/>
    <w:rsid w:val="00E6624D"/>
    <w:rsid w:val="00E70070"/>
    <w:rsid w:val="00E83696"/>
    <w:rsid w:val="00E92E7E"/>
    <w:rsid w:val="00EA2779"/>
    <w:rsid w:val="00EA509C"/>
    <w:rsid w:val="00EB1C0F"/>
    <w:rsid w:val="00EB2F01"/>
    <w:rsid w:val="00EB524C"/>
    <w:rsid w:val="00EB757B"/>
    <w:rsid w:val="00EC1680"/>
    <w:rsid w:val="00EC5B66"/>
    <w:rsid w:val="00ED149D"/>
    <w:rsid w:val="00ED15E6"/>
    <w:rsid w:val="00ED3456"/>
    <w:rsid w:val="00ED7ACC"/>
    <w:rsid w:val="00EE17DD"/>
    <w:rsid w:val="00EE2DE9"/>
    <w:rsid w:val="00EF2742"/>
    <w:rsid w:val="00EF499D"/>
    <w:rsid w:val="00EF64DD"/>
    <w:rsid w:val="00EF764C"/>
    <w:rsid w:val="00F04DCA"/>
    <w:rsid w:val="00F1181A"/>
    <w:rsid w:val="00F11EF0"/>
    <w:rsid w:val="00F12A32"/>
    <w:rsid w:val="00F1429C"/>
    <w:rsid w:val="00F165DD"/>
    <w:rsid w:val="00F2366F"/>
    <w:rsid w:val="00F32EC7"/>
    <w:rsid w:val="00F34D21"/>
    <w:rsid w:val="00F37A45"/>
    <w:rsid w:val="00F416B5"/>
    <w:rsid w:val="00F5129F"/>
    <w:rsid w:val="00F52BD7"/>
    <w:rsid w:val="00F56CB3"/>
    <w:rsid w:val="00F603F6"/>
    <w:rsid w:val="00F771E0"/>
    <w:rsid w:val="00F84647"/>
    <w:rsid w:val="00FA14B4"/>
    <w:rsid w:val="00FA2335"/>
    <w:rsid w:val="00FA4BF5"/>
    <w:rsid w:val="00FB2486"/>
    <w:rsid w:val="00FB5AB4"/>
    <w:rsid w:val="00FD46BF"/>
    <w:rsid w:val="00FD5044"/>
    <w:rsid w:val="00FE1A83"/>
    <w:rsid w:val="00FF02EB"/>
    <w:rsid w:val="00FF128D"/>
    <w:rsid w:val="00FF326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08762808-7259-4888-8A2B-495016CBCEB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647"/>
    <w:pPr>
      <w:spacing w:after="160" w:line="259" w:lineRule="auto"/>
    </w:pPr>
  </w:style>
  <w:style w:type="paragraph" w:styleId="Heading1">
    <w:name w:val="heading 1"/>
    <w:basedOn w:val="Normal"/>
    <w:next w:val="Normal"/>
    <w:link w:val="Heading1Char"/>
    <w:qFormat/>
    <w:rsid w:val="006837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683784"/>
    <w:pPr>
      <w:outlineLvl w:val="1"/>
    </w:pPr>
  </w:style>
  <w:style w:type="paragraph" w:styleId="Heading3">
    <w:name w:val="heading 3"/>
    <w:basedOn w:val="Normal"/>
    <w:next w:val="Normal"/>
    <w:link w:val="Heading3Char"/>
    <w:qFormat/>
    <w:rsid w:val="00683784"/>
    <w:pPr>
      <w:outlineLvl w:val="2"/>
    </w:pPr>
  </w:style>
  <w:style w:type="paragraph" w:styleId="Heading4">
    <w:name w:val="heading 4"/>
    <w:basedOn w:val="Normal"/>
    <w:next w:val="Normal"/>
    <w:link w:val="Heading4Char"/>
    <w:qFormat/>
    <w:rsid w:val="00683784"/>
    <w:pPr>
      <w:outlineLvl w:val="3"/>
    </w:pPr>
  </w:style>
  <w:style w:type="paragraph" w:styleId="Heading5">
    <w:name w:val="heading 5"/>
    <w:basedOn w:val="Normal"/>
    <w:next w:val="Normal"/>
    <w:link w:val="Heading5Char"/>
    <w:qFormat/>
    <w:rsid w:val="00683784"/>
    <w:pPr>
      <w:outlineLvl w:val="4"/>
    </w:pPr>
  </w:style>
  <w:style w:type="paragraph" w:styleId="Heading6">
    <w:name w:val="heading 6"/>
    <w:basedOn w:val="Normal"/>
    <w:next w:val="Normal"/>
    <w:link w:val="Heading6Char"/>
    <w:qFormat/>
    <w:rsid w:val="00683784"/>
    <w:pPr>
      <w:outlineLvl w:val="5"/>
    </w:pPr>
  </w:style>
  <w:style w:type="paragraph" w:styleId="Heading7">
    <w:name w:val="heading 7"/>
    <w:basedOn w:val="Normal"/>
    <w:next w:val="Normal"/>
    <w:link w:val="Heading7Char"/>
    <w:qFormat/>
    <w:rsid w:val="00683784"/>
    <w:pPr>
      <w:outlineLvl w:val="6"/>
    </w:pPr>
  </w:style>
  <w:style w:type="paragraph" w:styleId="Heading8">
    <w:name w:val="heading 8"/>
    <w:basedOn w:val="Normal"/>
    <w:next w:val="Normal"/>
    <w:link w:val="Heading8Char"/>
    <w:qFormat/>
    <w:rsid w:val="00683784"/>
    <w:pPr>
      <w:outlineLvl w:val="7"/>
    </w:pPr>
  </w:style>
  <w:style w:type="paragraph" w:styleId="Heading9">
    <w:name w:val="heading 9"/>
    <w:basedOn w:val="Normal"/>
    <w:next w:val="Normal"/>
    <w:link w:val="Heading9Char"/>
    <w:qFormat/>
    <w:rsid w:val="0068378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85A"/>
    <w:pPr>
      <w:spacing w:after="200" w:line="276" w:lineRule="auto"/>
      <w:ind w:left="720"/>
      <w:contextualSpacing/>
    </w:pPr>
    <w:rPr>
      <w:rFonts w:ascii="Calibri" w:hAnsi="Calibri"/>
    </w:rPr>
  </w:style>
  <w:style w:type="paragraph" w:styleId="FootnoteText">
    <w:name w:val="footnote text"/>
    <w:basedOn w:val="Normal"/>
    <w:link w:val="FootnoteTextChar"/>
    <w:unhideWhenUsed/>
    <w:qFormat/>
    <w:rsid w:val="00683784"/>
    <w:pPr>
      <w:spacing w:line="240" w:lineRule="auto"/>
    </w:pPr>
    <w:rPr>
      <w:sz w:val="20"/>
      <w:szCs w:val="20"/>
    </w:rPr>
  </w:style>
  <w:style w:type="character" w:customStyle="1" w:styleId="FootnoteTextChar">
    <w:name w:val="Footnote Text Char"/>
    <w:basedOn w:val="DefaultParagraphFont"/>
    <w:link w:val="FootnoteText"/>
    <w:rsid w:val="007E71D2"/>
    <w:rPr>
      <w:sz w:val="20"/>
      <w:szCs w:val="20"/>
      <w:lang w:val="nl-NL"/>
    </w:rPr>
  </w:style>
  <w:style w:type="character" w:styleId="FootnoteReference">
    <w:name w:val="footnote reference"/>
    <w:basedOn w:val="DefaultParagraphFont"/>
    <w:unhideWhenUsed/>
    <w:qFormat/>
    <w:rsid w:val="00683784"/>
    <w:rPr>
      <w:vertAlign w:val="superscript"/>
    </w:rPr>
  </w:style>
  <w:style w:type="character" w:styleId="CommentReference">
    <w:name w:val="annotation reference"/>
    <w:basedOn w:val="DefaultParagraphFont"/>
    <w:uiPriority w:val="99"/>
    <w:semiHidden/>
    <w:unhideWhenUsed/>
    <w:rsid w:val="007A4C60"/>
    <w:rPr>
      <w:sz w:val="16"/>
      <w:szCs w:val="16"/>
    </w:rPr>
  </w:style>
  <w:style w:type="paragraph" w:styleId="CommentText">
    <w:name w:val="annotation text"/>
    <w:basedOn w:val="Normal"/>
    <w:link w:val="CommentTextChar"/>
    <w:semiHidden/>
    <w:unhideWhenUsed/>
    <w:rsid w:val="007A4C60"/>
    <w:pPr>
      <w:spacing w:line="240" w:lineRule="auto"/>
    </w:pPr>
    <w:rPr>
      <w:sz w:val="20"/>
      <w:szCs w:val="20"/>
    </w:rPr>
  </w:style>
  <w:style w:type="character" w:customStyle="1" w:styleId="CommentTextChar">
    <w:name w:val="Comment Text Char"/>
    <w:basedOn w:val="DefaultParagraphFont"/>
    <w:link w:val="CommentText"/>
    <w:semiHidden/>
    <w:rsid w:val="007A4C60"/>
    <w:rPr>
      <w:rFonts w:ascii="Times New Roman" w:eastAsia="Times New Roman" w:hAnsi="Times New Roman" w:cs="Times New Roman"/>
      <w:sz w:val="20"/>
      <w:szCs w:val="20"/>
      <w:lang w:val="nl-NL"/>
    </w:rPr>
  </w:style>
  <w:style w:type="paragraph" w:styleId="CommentSubject">
    <w:name w:val="annotation subject"/>
    <w:basedOn w:val="CommentText"/>
    <w:next w:val="CommentText"/>
    <w:link w:val="CommentSubjectChar"/>
    <w:uiPriority w:val="99"/>
    <w:semiHidden/>
    <w:unhideWhenUsed/>
    <w:rsid w:val="007A4C60"/>
    <w:rPr>
      <w:b/>
      <w:bCs/>
    </w:rPr>
  </w:style>
  <w:style w:type="character" w:customStyle="1" w:styleId="CommentSubjectChar">
    <w:name w:val="Comment Subject Char"/>
    <w:basedOn w:val="CommentTextChar"/>
    <w:link w:val="CommentSubject"/>
    <w:uiPriority w:val="99"/>
    <w:semiHidden/>
    <w:rsid w:val="007A4C60"/>
    <w:rPr>
      <w:rFonts w:ascii="Times New Roman" w:eastAsia="Times New Roman" w:hAnsi="Times New Roman" w:cs="Times New Roman"/>
      <w:b/>
      <w:bCs/>
      <w:sz w:val="20"/>
      <w:szCs w:val="20"/>
      <w:lang w:val="nl-NL"/>
    </w:rPr>
  </w:style>
  <w:style w:type="paragraph" w:styleId="Revision">
    <w:name w:val="Revision"/>
    <w:hidden/>
    <w:uiPriority w:val="99"/>
    <w:semiHidden/>
    <w:rsid w:val="007A4C60"/>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A4C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C60"/>
    <w:rPr>
      <w:rFonts w:ascii="Tahoma" w:eastAsia="Times New Roman" w:hAnsi="Tahoma" w:cs="Tahoma"/>
      <w:sz w:val="16"/>
      <w:szCs w:val="16"/>
      <w:lang w:val="nl-NL"/>
    </w:rPr>
  </w:style>
  <w:style w:type="character" w:customStyle="1" w:styleId="normaltextrun">
    <w:name w:val="normaltextrun"/>
    <w:basedOn w:val="DefaultParagraphFont"/>
    <w:rsid w:val="00F12A32"/>
  </w:style>
  <w:style w:type="character" w:customStyle="1" w:styleId="eop">
    <w:name w:val="eop"/>
    <w:basedOn w:val="DefaultParagraphFont"/>
    <w:rsid w:val="00F12A32"/>
  </w:style>
  <w:style w:type="character" w:customStyle="1" w:styleId="spellingerror">
    <w:name w:val="spellingerror"/>
    <w:basedOn w:val="DefaultParagraphFont"/>
    <w:rsid w:val="00CC0748"/>
  </w:style>
  <w:style w:type="paragraph" w:styleId="Header">
    <w:name w:val="header"/>
    <w:basedOn w:val="Normal"/>
    <w:link w:val="HeaderChar"/>
    <w:unhideWhenUsed/>
    <w:qFormat/>
    <w:rsid w:val="00683784"/>
    <w:pPr>
      <w:tabs>
        <w:tab w:val="center" w:pos="4153"/>
        <w:tab w:val="right" w:pos="8306"/>
      </w:tabs>
      <w:spacing w:line="240" w:lineRule="auto"/>
    </w:pPr>
  </w:style>
  <w:style w:type="character" w:customStyle="1" w:styleId="HeaderChar">
    <w:name w:val="Header Char"/>
    <w:basedOn w:val="DefaultParagraphFont"/>
    <w:link w:val="Header"/>
    <w:rsid w:val="00EB1C0F"/>
    <w:rPr>
      <w:lang w:val="nl-NL"/>
    </w:rPr>
  </w:style>
  <w:style w:type="paragraph" w:styleId="Footer">
    <w:name w:val="footer"/>
    <w:basedOn w:val="Normal"/>
    <w:link w:val="FooterChar"/>
    <w:unhideWhenUsed/>
    <w:qFormat/>
    <w:rsid w:val="00683784"/>
    <w:pPr>
      <w:tabs>
        <w:tab w:val="center" w:pos="4153"/>
        <w:tab w:val="right" w:pos="8306"/>
      </w:tabs>
      <w:spacing w:line="240" w:lineRule="auto"/>
    </w:pPr>
  </w:style>
  <w:style w:type="character" w:customStyle="1" w:styleId="FooterChar">
    <w:name w:val="Footer Char"/>
    <w:basedOn w:val="DefaultParagraphFont"/>
    <w:link w:val="Footer"/>
    <w:rsid w:val="00EB1C0F"/>
    <w:rPr>
      <w:lang w:val="nl-NL"/>
    </w:rPr>
  </w:style>
  <w:style w:type="character" w:customStyle="1" w:styleId="Heading1Char">
    <w:name w:val="Heading 1 Char"/>
    <w:basedOn w:val="DefaultParagraphFont"/>
    <w:link w:val="Heading1"/>
    <w:rsid w:val="00CE5349"/>
    <w:rPr>
      <w:rFonts w:asciiTheme="majorHAnsi" w:eastAsiaTheme="majorEastAsia" w:hAnsiTheme="majorHAnsi" w:cstheme="majorBidi"/>
      <w:color w:val="365F91" w:themeColor="accent1" w:themeShade="BF"/>
      <w:sz w:val="32"/>
      <w:szCs w:val="32"/>
      <w:lang w:val="nl-NL"/>
    </w:rPr>
  </w:style>
  <w:style w:type="paragraph" w:styleId="Subtitle">
    <w:name w:val="Subtitle"/>
    <w:basedOn w:val="Normal"/>
    <w:next w:val="Normal"/>
    <w:link w:val="SubtitleChar"/>
    <w:uiPriority w:val="11"/>
    <w:qFormat/>
    <w:rsid w:val="005B2DC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B2DC3"/>
    <w:rPr>
      <w:rFonts w:eastAsiaTheme="minorEastAsia"/>
      <w:color w:val="5A5A5A" w:themeColor="text1" w:themeTint="A5"/>
      <w:spacing w:val="15"/>
      <w:lang w:val="nl-NL"/>
    </w:rPr>
  </w:style>
  <w:style w:type="character" w:styleId="Hyperlink">
    <w:name w:val="Hyperlink"/>
    <w:basedOn w:val="DefaultParagraphFont"/>
    <w:uiPriority w:val="99"/>
    <w:unhideWhenUsed/>
    <w:rsid w:val="00014E6A"/>
    <w:rPr>
      <w:color w:val="0000FF"/>
      <w:u w:val="single"/>
    </w:rPr>
  </w:style>
  <w:style w:type="character" w:customStyle="1" w:styleId="Heading2Char">
    <w:name w:val="Heading 2 Char"/>
    <w:basedOn w:val="DefaultParagraphFont"/>
    <w:link w:val="Heading2"/>
    <w:rsid w:val="00A31CB4"/>
    <w:rPr>
      <w:lang w:val="nl-NL"/>
    </w:rPr>
  </w:style>
  <w:style w:type="character" w:customStyle="1" w:styleId="Heading3Char">
    <w:name w:val="Heading 3 Char"/>
    <w:basedOn w:val="DefaultParagraphFont"/>
    <w:link w:val="Heading3"/>
    <w:rsid w:val="00A31CB4"/>
    <w:rPr>
      <w:lang w:val="nl-NL"/>
    </w:rPr>
  </w:style>
  <w:style w:type="character" w:customStyle="1" w:styleId="Heading4Char">
    <w:name w:val="Heading 4 Char"/>
    <w:basedOn w:val="DefaultParagraphFont"/>
    <w:link w:val="Heading4"/>
    <w:rsid w:val="00A31CB4"/>
    <w:rPr>
      <w:lang w:val="nl-NL"/>
    </w:rPr>
  </w:style>
  <w:style w:type="character" w:customStyle="1" w:styleId="Heading5Char">
    <w:name w:val="Heading 5 Char"/>
    <w:basedOn w:val="DefaultParagraphFont"/>
    <w:link w:val="Heading5"/>
    <w:rsid w:val="00A31CB4"/>
    <w:rPr>
      <w:lang w:val="nl-NL"/>
    </w:rPr>
  </w:style>
  <w:style w:type="character" w:customStyle="1" w:styleId="Heading6Char">
    <w:name w:val="Heading 6 Char"/>
    <w:basedOn w:val="DefaultParagraphFont"/>
    <w:link w:val="Heading6"/>
    <w:rsid w:val="00A31CB4"/>
    <w:rPr>
      <w:lang w:val="nl-NL"/>
    </w:rPr>
  </w:style>
  <w:style w:type="character" w:customStyle="1" w:styleId="Heading7Char">
    <w:name w:val="Heading 7 Char"/>
    <w:basedOn w:val="DefaultParagraphFont"/>
    <w:link w:val="Heading7"/>
    <w:rsid w:val="00A31CB4"/>
    <w:rPr>
      <w:lang w:val="nl-NL"/>
    </w:rPr>
  </w:style>
  <w:style w:type="character" w:customStyle="1" w:styleId="Heading8Char">
    <w:name w:val="Heading 8 Char"/>
    <w:basedOn w:val="DefaultParagraphFont"/>
    <w:link w:val="Heading8"/>
    <w:rsid w:val="00A31CB4"/>
    <w:rPr>
      <w:lang w:val="nl-NL"/>
    </w:rPr>
  </w:style>
  <w:style w:type="character" w:customStyle="1" w:styleId="Heading9Char">
    <w:name w:val="Heading 9 Char"/>
    <w:basedOn w:val="DefaultParagraphFont"/>
    <w:link w:val="Heading9"/>
    <w:rsid w:val="00A31CB4"/>
    <w:rPr>
      <w:lang w:val="nl-NL"/>
    </w:rPr>
  </w:style>
  <w:style w:type="paragraph" w:customStyle="1" w:styleId="quotes">
    <w:name w:val="quotes"/>
    <w:basedOn w:val="Normal"/>
    <w:next w:val="Normal"/>
    <w:rsid w:val="00A31CB4"/>
    <w:pPr>
      <w:ind w:left="7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6366">
      <w:bodyDiv w:val="1"/>
      <w:marLeft w:val="0"/>
      <w:marRight w:val="0"/>
      <w:marTop w:val="0"/>
      <w:marBottom w:val="0"/>
      <w:divBdr>
        <w:top w:val="none" w:sz="0" w:space="0" w:color="auto"/>
        <w:left w:val="none" w:sz="0" w:space="0" w:color="auto"/>
        <w:bottom w:val="none" w:sz="0" w:space="0" w:color="auto"/>
        <w:right w:val="none" w:sz="0" w:space="0" w:color="auto"/>
      </w:divBdr>
    </w:div>
    <w:div w:id="725101770">
      <w:bodyDiv w:val="1"/>
      <w:marLeft w:val="0"/>
      <w:marRight w:val="0"/>
      <w:marTop w:val="0"/>
      <w:marBottom w:val="0"/>
      <w:divBdr>
        <w:top w:val="none" w:sz="0" w:space="0" w:color="auto"/>
        <w:left w:val="none" w:sz="0" w:space="0" w:color="auto"/>
        <w:bottom w:val="none" w:sz="0" w:space="0" w:color="auto"/>
        <w:right w:val="none" w:sz="0" w:space="0" w:color="auto"/>
      </w:divBdr>
    </w:div>
    <w:div w:id="737484501">
      <w:bodyDiv w:val="1"/>
      <w:marLeft w:val="0"/>
      <w:marRight w:val="0"/>
      <w:marTop w:val="0"/>
      <w:marBottom w:val="0"/>
      <w:divBdr>
        <w:top w:val="none" w:sz="0" w:space="0" w:color="auto"/>
        <w:left w:val="none" w:sz="0" w:space="0" w:color="auto"/>
        <w:bottom w:val="none" w:sz="0" w:space="0" w:color="auto"/>
        <w:right w:val="none" w:sz="0" w:space="0" w:color="auto"/>
      </w:divBdr>
    </w:div>
    <w:div w:id="757168760">
      <w:bodyDiv w:val="1"/>
      <w:marLeft w:val="0"/>
      <w:marRight w:val="0"/>
      <w:marTop w:val="0"/>
      <w:marBottom w:val="0"/>
      <w:divBdr>
        <w:top w:val="none" w:sz="0" w:space="0" w:color="auto"/>
        <w:left w:val="none" w:sz="0" w:space="0" w:color="auto"/>
        <w:bottom w:val="none" w:sz="0" w:space="0" w:color="auto"/>
        <w:right w:val="none" w:sz="0" w:space="0" w:color="auto"/>
      </w:divBdr>
    </w:div>
    <w:div w:id="966155248">
      <w:bodyDiv w:val="1"/>
      <w:marLeft w:val="0"/>
      <w:marRight w:val="0"/>
      <w:marTop w:val="0"/>
      <w:marBottom w:val="0"/>
      <w:divBdr>
        <w:top w:val="none" w:sz="0" w:space="0" w:color="auto"/>
        <w:left w:val="none" w:sz="0" w:space="0" w:color="auto"/>
        <w:bottom w:val="none" w:sz="0" w:space="0" w:color="auto"/>
        <w:right w:val="none" w:sz="0" w:space="0" w:color="auto"/>
      </w:divBdr>
    </w:div>
    <w:div w:id="977221858">
      <w:bodyDiv w:val="1"/>
      <w:marLeft w:val="0"/>
      <w:marRight w:val="0"/>
      <w:marTop w:val="0"/>
      <w:marBottom w:val="0"/>
      <w:divBdr>
        <w:top w:val="none" w:sz="0" w:space="0" w:color="auto"/>
        <w:left w:val="none" w:sz="0" w:space="0" w:color="auto"/>
        <w:bottom w:val="none" w:sz="0" w:space="0" w:color="auto"/>
        <w:right w:val="none" w:sz="0" w:space="0" w:color="auto"/>
      </w:divBdr>
    </w:div>
    <w:div w:id="1207140338">
      <w:bodyDiv w:val="1"/>
      <w:marLeft w:val="0"/>
      <w:marRight w:val="0"/>
      <w:marTop w:val="0"/>
      <w:marBottom w:val="0"/>
      <w:divBdr>
        <w:top w:val="none" w:sz="0" w:space="0" w:color="auto"/>
        <w:left w:val="none" w:sz="0" w:space="0" w:color="auto"/>
        <w:bottom w:val="none" w:sz="0" w:space="0" w:color="auto"/>
        <w:right w:val="none" w:sz="0" w:space="0" w:color="auto"/>
      </w:divBdr>
    </w:div>
    <w:div w:id="1289623022">
      <w:bodyDiv w:val="1"/>
      <w:marLeft w:val="0"/>
      <w:marRight w:val="0"/>
      <w:marTop w:val="0"/>
      <w:marBottom w:val="0"/>
      <w:divBdr>
        <w:top w:val="none" w:sz="0" w:space="0" w:color="auto"/>
        <w:left w:val="none" w:sz="0" w:space="0" w:color="auto"/>
        <w:bottom w:val="none" w:sz="0" w:space="0" w:color="auto"/>
        <w:right w:val="none" w:sz="0" w:space="0" w:color="auto"/>
      </w:divBdr>
    </w:div>
    <w:div w:id="1420254963">
      <w:bodyDiv w:val="1"/>
      <w:marLeft w:val="0"/>
      <w:marRight w:val="0"/>
      <w:marTop w:val="0"/>
      <w:marBottom w:val="0"/>
      <w:divBdr>
        <w:top w:val="none" w:sz="0" w:space="0" w:color="auto"/>
        <w:left w:val="none" w:sz="0" w:space="0" w:color="auto"/>
        <w:bottom w:val="none" w:sz="0" w:space="0" w:color="auto"/>
        <w:right w:val="none" w:sz="0" w:space="0" w:color="auto"/>
      </w:divBdr>
    </w:div>
    <w:div w:id="1757707581">
      <w:bodyDiv w:val="1"/>
      <w:marLeft w:val="0"/>
      <w:marRight w:val="0"/>
      <w:marTop w:val="0"/>
      <w:marBottom w:val="0"/>
      <w:divBdr>
        <w:top w:val="none" w:sz="0" w:space="0" w:color="auto"/>
        <w:left w:val="none" w:sz="0" w:space="0" w:color="auto"/>
        <w:bottom w:val="none" w:sz="0" w:space="0" w:color="auto"/>
        <w:right w:val="none" w:sz="0" w:space="0" w:color="auto"/>
      </w:divBdr>
    </w:div>
    <w:div w:id="1924946861">
      <w:bodyDiv w:val="1"/>
      <w:marLeft w:val="0"/>
      <w:marRight w:val="0"/>
      <w:marTop w:val="0"/>
      <w:marBottom w:val="0"/>
      <w:divBdr>
        <w:top w:val="none" w:sz="0" w:space="0" w:color="auto"/>
        <w:left w:val="none" w:sz="0" w:space="0" w:color="auto"/>
        <w:bottom w:val="none" w:sz="0" w:space="0" w:color="auto"/>
        <w:right w:val="none" w:sz="0" w:space="0" w:color="auto"/>
      </w:divBdr>
    </w:div>
    <w:div w:id="2066681319">
      <w:bodyDiv w:val="1"/>
      <w:marLeft w:val="0"/>
      <w:marRight w:val="0"/>
      <w:marTop w:val="0"/>
      <w:marBottom w:val="0"/>
      <w:divBdr>
        <w:top w:val="none" w:sz="0" w:space="0" w:color="auto"/>
        <w:left w:val="none" w:sz="0" w:space="0" w:color="auto"/>
        <w:bottom w:val="none" w:sz="0" w:space="0" w:color="auto"/>
        <w:right w:val="none" w:sz="0" w:space="0" w:color="auto"/>
      </w:divBdr>
    </w:div>
    <w:div w:id="211825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26" Type="http://schemas.openxmlformats.org/officeDocument/2006/relationships/customXml" Target="../customXml/item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5" Type="http://schemas.microsoft.com/office/2016/09/relationships/commentsIds" Target="commentsIds.xml"/><Relationship Id="rId16" Type="http://schemas.openxmlformats.org/officeDocument/2006/relationships/footer" Target="footer1.xml"/><Relationship Id="rId29" Type="http://schemas.openxmlformats.org/officeDocument/2006/relationships/customXml" Target="../customXml/item4.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15" Type="http://schemas.openxmlformats.org/officeDocument/2006/relationships/hyperlink" Target="https://s3platform.jrc.ec.europa.eu/social-economy" TargetMode="External"/><Relationship Id="rId28" Type="http://schemas.openxmlformats.org/officeDocument/2006/relationships/customXml" Target="../customXml/item3.xml"/><Relationship Id="rId10" Type="http://schemas.openxmlformats.org/officeDocument/2006/relationships/footnotes" Target="footnotes.xml"/><Relationship Id="rId9" Type="http://schemas.openxmlformats.org/officeDocument/2006/relationships/webSettings" Target="webSettings.xml"/><Relationship Id="rId14" Type="http://schemas.openxmlformats.org/officeDocument/2006/relationships/hyperlink" Target="https://www.europeanjobdays.eu/nl" TargetMode="Externa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xUriServ/LexUriServ.do?uri=OJ:C:2012:102:0006:0010:NL:PDF" TargetMode="External"/><Relationship Id="rId1" Type="http://schemas.openxmlformats.org/officeDocument/2006/relationships/hyperlink" Target="https://ec.europa.eu/commission/sites/beta-political/files/reflection-paper-social-dimension-europe_nl.pdf"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3T5AXJEHYTWU-1246943346-5721</_dlc_DocId>
    <_dlc_DocIdUrl xmlns="0b452354-65a4-4dd6-8824-e6b830247e3e">
      <Url>http://dm2016/cor/2020/_layouts/15/DocIdRedir.aspx?ID=3T5AXJEHYTWU-1246943346-5721</Url>
      <Description>3T5AXJEHYTWU-1246943346-5721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2020-11-24T12:00:00+00:00</ProductionDate>
    <FicheYear xmlns="0b452354-65a4-4dd6-8824-e6b830247e3e">2020</FicheYear>
    <DocumentNumber xmlns="4bbe3f12-7728-4332-8165-6531ead52725">4835</DocumentNumber>
    <DocumentVersion xmlns="0b452354-65a4-4dd6-8824-e6b830247e3e">1</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NL</TermName>
          <TermId xmlns="http://schemas.microsoft.com/office/infopath/2007/PartnerControls">55c6556c-b4f4-441d-9acf-c498d4f838bd</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12567</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CCD6A944-7B06-4644-B334-2C1F8116DA39}"/>
</file>

<file path=customXml/itemProps2.xml><?xml version="1.0" encoding="utf-8"?>
<ds:datastoreItem xmlns:ds="http://schemas.openxmlformats.org/officeDocument/2006/customXml" ds:itemID="{7B7AF01B-E70F-4AF0-A900-010937891820}"/>
</file>

<file path=customXml/itemProps3.xml><?xml version="1.0" encoding="utf-8"?>
<ds:datastoreItem xmlns:ds="http://schemas.openxmlformats.org/officeDocument/2006/customXml" ds:itemID="{DE6C36D2-674A-442D-B606-B8F13F88D28B}"/>
</file>

<file path=customXml/itemProps4.xml><?xml version="1.0" encoding="utf-8"?>
<ds:datastoreItem xmlns:ds="http://schemas.openxmlformats.org/officeDocument/2006/customXml" ds:itemID="{A0A70BDA-8A20-4D48-9141-AC129471BB1B}"/>
</file>

<file path=docProps/app.xml><?xml version="1.0" encoding="utf-8"?>
<Properties xmlns="http://schemas.openxmlformats.org/officeDocument/2006/extended-properties" xmlns:vt="http://schemas.openxmlformats.org/officeDocument/2006/docPropsVTypes">
  <Template>Styles.dotm</Template>
  <TotalTime>58</TotalTime>
  <Pages>9</Pages>
  <Words>3108</Words>
  <Characters>17099</Characters>
  <Application>Microsoft Office Word</Application>
  <DocSecurity>0</DocSecurity>
  <Lines>142</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EESC-ECOR</Company>
  <LinksUpToDate>false</LinksUpToDate>
  <CharactersWithSpaces>20167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 - DG EMPL Gebieden voor versterkte samenwerking tussen het Europees Comité van de Regio's (CvdR) en directoraat-generaal Werkgelegenheid, Sociale Zaken en Inclusie (DG EMPL) van de Europese Commissie</dc:title>
  <dc:subject>Advieswerkzaamheden, diversen</dc:subject>
  <dc:creator>Thomas Wobben</dc:creator>
  <cp:keywords>COR-2020-04835-00-01-TCD-TRA-EN</cp:keywords>
  <dc:description>Rapporteur:  - Original language: EN - Date of document: 24/11/2020 - Date of meeting: 25/11/2020 - External documents:  - Administrator:  PETRAS Georgios</dc:description>
  <cp:lastModifiedBy>Christel Buts</cp:lastModifiedBy>
  <cp:revision>8</cp:revision>
  <cp:lastPrinted>2020-10-07T12:59:00Z</cp:lastPrinted>
  <dcterms:created xsi:type="dcterms:W3CDTF">2020-11-17T16:19:00Z</dcterms:created>
  <dcterms:modified xsi:type="dcterms:W3CDTF">2020-11-24T09:04:00Z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17/11/2020, 17/11/2020, 03/11/2020</vt:lpwstr>
  </property>
  <property fmtid="{D5CDD505-2E9C-101B-9397-08002B2CF9AE}" pid="4" name="Pref_Time">
    <vt:lpwstr>17:11:11, 17:01:01, 11:51:23</vt:lpwstr>
  </property>
  <property fmtid="{D5CDD505-2E9C-101B-9397-08002B2CF9AE}" pid="5" name="Pref_User">
    <vt:lpwstr>enied, ssex, amett</vt:lpwstr>
  </property>
  <property fmtid="{D5CDD505-2E9C-101B-9397-08002B2CF9AE}" pid="6" name="Pref_FileName">
    <vt:lpwstr>COR-2020-04835-00-01-TCD-TRA-EN-CRR.docx, COR-2020-04835-00-01-TCD-CRR-EN.docx, COR-2020-04835-00-00-TCD-TRA-EN-CRR.docx</vt:lpwstr>
  </property>
  <property fmtid="{D5CDD505-2E9C-101B-9397-08002B2CF9AE}" pid="7" name="ContentTypeId">
    <vt:lpwstr>0x010100EA97B91038054C99906057A708A1480A00165174FC8F090445A2AE79FCF6D9A29A</vt:lpwstr>
  </property>
  <property fmtid="{D5CDD505-2E9C-101B-9397-08002B2CF9AE}" pid="8" name="_dlc_DocIdItemGuid">
    <vt:lpwstr>5503b07d-a230-446e-99c9-89647dd52f4a</vt:lpwstr>
  </property>
  <property fmtid="{D5CDD505-2E9C-101B-9397-08002B2CF9AE}" pid="9" name="AvailableTranslations">
    <vt:lpwstr>31;#LV|46f7e311-5d9f-4663-b433-18aeccb7ace7;#4;#FR|d2afafd3-4c81-4f60-8f52-ee33f2f54ff3;#16;#ES|e7a6b05b-ae16-40c8-add9-68b64b03aeba;#36;#FI|87606a43-d45f-42d6-b8c9-e1a3457db5b7;#34;#CS|72f9705b-0217-4fd3-bea2-cbc7ed80e26e;#19;#LT|a7ff5ce7-6123-4f68-865a-a57c31810414;#35;#PT|50ccc04a-eadd-42ae-a0cb-acaf45f812ba;#13;#HR|2f555653-ed1a-4fe6-8362-9082d95989e5;#12;#EL|6d4f4d51-af9b-4650-94b4-4276bee85c91;#38;#RO|feb747a2-64cd-4299-af12-4833ddc30497;#14;#MT|7df99101-6854-4a26-b53a-b88c0da02c26;#18;#NL|55c6556c-b4f4-441d-9acf-c498d4f838bd;#23;#DE|f6b31e5a-26fa-4935-b661-318e46daf27e;#30;#DA|5d49c027-8956-412b-aa16-e85a0f96ad0e;#27;#HU|6b229040-c589-4408-b4c1-4285663d20a8;#26;#SL|98a412ae-eb01-49e9-ae3d-585a81724cfc;#17;#PL|1e03da61-4678-4e07-b136-b5024ca9197b;#37;#BG|1a1b3951-7821-4e6a-85f5-5673fc08bd2c;#29;#SV|c2ed69e7-a339-43d7-8f22-d93680a92aa0;#25;#ET|ff6c3f4c-b02c-4c3c-ab07-2c37995a7a0a;#11;#IT|0774613c-01ed-4e5d-a25d-11d2388de825;#15;#SK|46d9fce0-ef79-4f71-b89b-cd6aa82426b8;#7;#EN|f2175f21-25d7-44a3-96da-d6a61b075e1b</vt:lpwstr>
  </property>
  <property fmtid="{D5CDD505-2E9C-101B-9397-08002B2CF9AE}" pid="10" name="DocumentType_0">
    <vt:lpwstr>TCD|cd9d6eb6-3f4f-424a-b2d1-57c9d450eaaf</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4835</vt:i4>
  </property>
  <property fmtid="{D5CDD505-2E9C-101B-9397-08002B2CF9AE}" pid="15" name="FicheYear">
    <vt:i4>2020</vt:i4>
  </property>
  <property fmtid="{D5CDD505-2E9C-101B-9397-08002B2CF9AE}" pid="16" name="DocumentVersion">
    <vt:i4>1</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22;#TCD|cd9d6eb6-3f4f-424a-b2d1-57c9d450eaaf</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LV|46f7e311-5d9f-4663-b433-18aeccb7ace7;FR|d2afafd3-4c81-4f60-8f52-ee33f2f54ff3;ES|e7a6b05b-ae16-40c8-add9-68b64b03aeba;FI|87606a43-d45f-42d6-b8c9-e1a3457db5b7;CS|72f9705b-0217-4fd3-bea2-cbc7ed80e26e;LT|a7ff5ce7-6123-4f68-865a-a57c31810414;PT|50ccc04a-eadd-42ae-a0cb-acaf45f812ba;HR|2f555653-ed1a-4fe6-8362-9082d95989e5;RO|feb747a2-64cd-4299-af12-4833ddc30497;MT|7df99101-6854-4a26-b53a-b88c0da02c26;DE|f6b31e5a-26fa-4935-b661-318e46daf27e;DA|5d49c027-8956-412b-aa16-e85a0f96ad0e;SL|98a412ae-eb01-49e9-ae3d-585a81724cfc;PL|1e03da61-4678-4e07-b136-b5024ca9197b;BG|1a1b3951-7821-4e6a-85f5-5673fc08bd2c;SV|c2ed69e7-a339-43d7-8f22-d93680a92aa0;ET|ff6c3f4c-b02c-4c3c-ab07-2c37995a7a0a;IT|0774613c-01ed-4e5d-a25d-11d2388de825;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FI|87606a43-d45f-42d6-b8c9-e1a3457db5b7;#35;#PT|50ccc04a-eadd-42ae-a0cb-acaf45f812ba;#34;#CS|72f9705b-0217-4fd3-bea2-cbc7ed80e26e;#31;#LV|46f7e311-5d9f-4663-b433-18aeccb7ace7;#30;#DA|5d49c027-8956-412b-aa16-e85a0f96ad0e;#29;#SV|c2ed69e7-a339-43d7-8f22-d93680a92aa0;#26;#SL|98a412ae-eb01-49e9-ae3d-585a81724cfc;#25;#ET|ff6c3f4c-b02c-4c3c-ab07-2c37995a7a0a;#38;#RO|feb747a2-64cd-4299-af12-4833ddc30497;#23;#DE|f6b31e5a-26fa-4935-b661-318e46daf27e;#22;#TCD|cd9d6eb6-3f4f-424a-b2d1-57c9d450eaaf;#19;#LT|a7ff5ce7-6123-4f68-865a-a57c31810414;#17;#PL|1e03da61-4678-4e07-b136-b5024ca9197b;#16;#ES|e7a6b05b-ae16-40c8-add9-68b64b03aeba;#14;#MT|7df99101-6854-4a26-b53a-b88c0da02c26;#50;#SEDEC-VII|2234d809-5ab4-4b5b-84d4-8dd3531523c3;#13;#HR|2f555653-ed1a-4fe6-8362-9082d95989e5;#11;#IT|0774613c-01ed-4e5d-a25d-11d2388de825;#8;#TRA|150d2a88-1431-44e6-a8ca-0bb753ab8672;#7;#EN|f2175f21-25d7-44a3-96da-d6a61b075e1b;#6;#Final|ea5e6674-7b27-4bac-b091-73adbb394efe;#5;#Unrestricted|826e22d7-d029-4ec0-a450-0c28ff673572;#4;#FR|d2afafd3-4c81-4f60-8f52-ee33f2f54ff3;#1;#CoR|cb2d75ef-4a7d-4393-b797-49ed6298a5ea;#37;#BG|1a1b3951-7821-4e6a-85f5-5673fc08bd2c</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12567</vt:i4>
  </property>
  <property fmtid="{D5CDD505-2E9C-101B-9397-08002B2CF9AE}" pid="38" name="DocumentLanguage">
    <vt:lpwstr>18;#NL|55c6556c-b4f4-441d-9acf-c498d4f838bd</vt:lpwstr>
  </property>
</Properties>
</file>