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5D" w:rsidRPr="003814FB" w:rsidRDefault="0023381A" w:rsidP="00151730">
      <w:pPr>
        <w:rPr>
          <w:b/>
          <w:sz w:val="36"/>
          <w:szCs w:val="36"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062ED57" wp14:editId="16948DED">
            <wp:simplePos x="0" y="0"/>
            <wp:positionH relativeFrom="margin">
              <wp:posOffset>4554800</wp:posOffset>
            </wp:positionH>
            <wp:positionV relativeFrom="paragraph">
              <wp:posOffset>45254</wp:posOffset>
            </wp:positionV>
            <wp:extent cx="1202400" cy="832095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CE for Word EN Positiv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0" cy="83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inline distT="0" distB="0" distL="0" distR="0" wp14:anchorId="1ACC1283" wp14:editId="1D76655F">
            <wp:extent cx="1008729" cy="873168"/>
            <wp:effectExtent l="0" t="0" r="127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R-vertical-positive-en-quadri_HR letterhea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729" cy="873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B5D" w:rsidRPr="003814FB" w:rsidRDefault="00C82EBC">
      <w:pPr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20"/>
          <w:szCs w:val="3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A16B62C" wp14:editId="245779F2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EBC" w:rsidRPr="00260E65" w:rsidRDefault="00C82E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6B62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0EtQIAALk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B2tl0EtQIAALkF&#10;AAAOAAAAAAAAAAAAAAAAAC4CAABkcnMvZTJvRG9jLnhtbFBLAQItABQABgAIAAAAIQDrVDFa3gAA&#10;AA8BAAAPAAAAAAAAAAAAAAAAAA8FAABkcnMvZG93bnJldi54bWxQSwUGAAAAAAQABADzAAAAGgYA&#10;AAAA&#10;" o:allowincell="f" filled="f" stroked="f">
                <v:textbox>
                  <w:txbxContent>
                    <w:p w:rsidR="00C82EBC" w:rsidRPr="00260E65" w:rsidRDefault="00C82E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PL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2285A" w:rsidRPr="003814FB" w:rsidRDefault="00C34231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Obszary wzmocnionej współpracy między Europejskim Komitetem Regionów (KR-em) a Dyrekcją Generalną ds.</w:t>
      </w:r>
      <w:r w:rsidR="00B9021C">
        <w:rPr>
          <w:b/>
          <w:sz w:val="36"/>
          <w:u w:val="single"/>
        </w:rPr>
        <w:t> </w:t>
      </w:r>
      <w:r>
        <w:rPr>
          <w:b/>
          <w:sz w:val="36"/>
          <w:u w:val="single"/>
        </w:rPr>
        <w:t>Zatrudnienia i Spraw Społecznych Komisji Europejskiej (DG EMPL)</w:t>
      </w:r>
    </w:p>
    <w:p w:rsidR="001C24E4" w:rsidRPr="00B9021C" w:rsidRDefault="001C24E4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en-GB"/>
        </w:rPr>
      </w:pPr>
    </w:p>
    <w:p w:rsidR="009521C5" w:rsidRPr="00B9021C" w:rsidRDefault="009521C5" w:rsidP="007D6282">
      <w:pPr>
        <w:pStyle w:val="Heading1"/>
        <w:numPr>
          <w:ilvl w:val="0"/>
          <w:numId w:val="22"/>
        </w:numPr>
        <w:ind w:left="567" w:hanging="567"/>
        <w:rPr>
          <w:rFonts w:ascii="Times New Roman" w:hAnsi="Times New Roman" w:cs="Times New Roman"/>
          <w:b/>
          <w:color w:val="auto"/>
          <w:sz w:val="24"/>
        </w:rPr>
      </w:pPr>
      <w:r w:rsidRPr="00B9021C">
        <w:rPr>
          <w:rFonts w:ascii="Times New Roman" w:hAnsi="Times New Roman" w:cs="Times New Roman"/>
          <w:b/>
          <w:color w:val="auto"/>
          <w:sz w:val="24"/>
        </w:rPr>
        <w:t>Wprowadzenie</w:t>
      </w:r>
    </w:p>
    <w:p w:rsidR="00014693" w:rsidRPr="00B9021C" w:rsidRDefault="00014693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14E6A" w:rsidRPr="00B9021C" w:rsidRDefault="00C82EBC" w:rsidP="00B9021C">
      <w:pPr>
        <w:jc w:val="both"/>
        <w:rPr>
          <w:rFonts w:ascii="Times New Roman" w:hAnsi="Times New Roman" w:cs="Times New Roman"/>
          <w:color w:val="000000"/>
        </w:rPr>
      </w:pPr>
      <w:r w:rsidRPr="00B9021C">
        <w:rPr>
          <w:rFonts w:ascii="Times New Roman" w:hAnsi="Times New Roman" w:cs="Times New Roman"/>
        </w:rPr>
        <w:t>Już przed kryzysem spowodowanym przez pandemię COVID-19 wiadomo było, że koncepcja „społecznej Europy” jest kluczowym aspektem wkładu UE w demokratyczne, spójne, zróżnicowane kulturowo i zamożne społeczeństwa. Wiąże się ona z postępem gospodarczym i społecznym, zwalczaniem dyskryminacji i wykluczenia społecznego, przygotowaniem Europejczyków do wymagań rynku pracy i umożliwieni</w:t>
      </w:r>
      <w:r w:rsidR="00B9021C">
        <w:rPr>
          <w:rFonts w:ascii="Times New Roman" w:hAnsi="Times New Roman" w:cs="Times New Roman"/>
        </w:rPr>
        <w:t>em im satysfakcjonującego życia</w:t>
      </w:r>
      <w:r w:rsidR="00014E6A" w:rsidRPr="00B9021C">
        <w:rPr>
          <w:rStyle w:val="FootnoteReference"/>
          <w:rFonts w:ascii="Times New Roman" w:hAnsi="Times New Roman" w:cs="Times New Roman"/>
          <w:sz w:val="24"/>
          <w:szCs w:val="24"/>
          <w:lang w:val="en-GB"/>
        </w:rPr>
        <w:footnoteReference w:id="2"/>
      </w:r>
      <w:r w:rsidR="00B9021C">
        <w:rPr>
          <w:rFonts w:ascii="Times New Roman" w:hAnsi="Times New Roman" w:cs="Times New Roman"/>
        </w:rPr>
        <w:t>.</w:t>
      </w:r>
      <w:r w:rsidRPr="00B9021C">
        <w:rPr>
          <w:rFonts w:ascii="Times New Roman" w:hAnsi="Times New Roman" w:cs="Times New Roman"/>
        </w:rPr>
        <w:t xml:space="preserve"> </w:t>
      </w:r>
    </w:p>
    <w:p w:rsidR="00014E6A" w:rsidRPr="00B9021C" w:rsidRDefault="00014E6A">
      <w:pPr>
        <w:rPr>
          <w:rFonts w:ascii="Times New Roman" w:hAnsi="Times New Roman" w:cs="Times New Roman"/>
          <w:color w:val="000000"/>
          <w:lang w:val="en-GB"/>
        </w:rPr>
      </w:pPr>
    </w:p>
    <w:p w:rsidR="00014E6A" w:rsidRPr="00B9021C" w:rsidRDefault="00014E6A" w:rsidP="005D5EB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 xml:space="preserve">Europejski Komitet Regionów (KR) oraz DG ds. Zatrudnienia, Spraw Społecznych i Włączenia Społecznego (DG EMPL) w przeszłości podejmowały współpracę w kilku obszarach. Oczywiste jest jednak, że nadchodzące wyzwania oraz żywe zainteresowanie urzędującego komisarza stwarzają okazję do nadania współpracy między Komisją a KR nowego wymiaru w tej dziedzinie. </w:t>
      </w:r>
    </w:p>
    <w:p w:rsidR="00014E6A" w:rsidRPr="00B9021C" w:rsidRDefault="00014E6A">
      <w:pPr>
        <w:rPr>
          <w:rFonts w:ascii="Times New Roman" w:hAnsi="Times New Roman" w:cs="Times New Roman"/>
          <w:lang w:val="en-GB"/>
        </w:rPr>
      </w:pPr>
    </w:p>
    <w:p w:rsidR="00014E6A" w:rsidRPr="00B9021C" w:rsidRDefault="00014E6A" w:rsidP="007D6282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 xml:space="preserve">Komisarz Nicolas Schmit wykazał niezwykłe zainteresowanie KR-em, gdyż w ciągu niespełna roku wziął udział w dwóch sesjach plenarnych i posiedzeniu Komisji Polityki Społecznej, Edukacji, Zatrudnienia, Badań Naukowych i Kultury (SEDEC). </w:t>
      </w:r>
    </w:p>
    <w:p w:rsidR="00164C40" w:rsidRPr="00B9021C" w:rsidRDefault="00164C40" w:rsidP="007D6282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Joost Korte (dyrektor generalny DG EMPL) wziął udział w posiedzeniu Komisji SEDEC w lutym 2020 r., na którym wygłosił przemówienie zachęcające członków KR do przedstawienia komentarzy zgodnie z postulatami komunikatu Komisji „Silna społeczna Europa na rzecz sprawiedliwych przemian” (Komisja SEDEC już opracowuje opinię na ten temat).</w:t>
      </w:r>
    </w:p>
    <w:p w:rsidR="00164C40" w:rsidRPr="00B9021C" w:rsidRDefault="00164C40" w:rsidP="007D6282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Zarówno komisarz, jak i dyrektor generalny wyraźnie stwierdzili, że oczekują od KR aktywnego zaangażowania w przygotowanie szczytu społecznego w Porto (maj 2021 r.) oraz planu działania na rzecz wdrożenia Europejskiego filaru praw socjalnych.</w:t>
      </w:r>
    </w:p>
    <w:p w:rsidR="006A6308" w:rsidRPr="00B9021C" w:rsidRDefault="006A6308" w:rsidP="007D6282">
      <w:pPr>
        <w:pStyle w:val="ListParagraph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lastRenderedPageBreak/>
        <w:t>Ducha wzajemnej współpracy krzewiono również podczas spotkania komisarza i</w:t>
      </w:r>
      <w:r w:rsidR="005C4F23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przewodniczącego KR-u (9 lipca), podczas którego potwierdzono, że obie instytucje powinny znaleźć więcej możliwości współpracy.</w:t>
      </w:r>
    </w:p>
    <w:p w:rsidR="00864E4E" w:rsidRPr="00B9021C" w:rsidRDefault="00864E4E" w:rsidP="005D5EB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 protokole o współpracy między Komisją Europejską a Komitetem Regionów (2012/C 102/02)</w:t>
      </w:r>
      <w:r w:rsidRPr="005C4F23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footnoteReference w:id="3"/>
      </w:r>
      <w:r w:rsidRPr="00B9021C">
        <w:rPr>
          <w:rFonts w:ascii="Times New Roman" w:hAnsi="Times New Roman" w:cs="Times New Roman"/>
        </w:rPr>
        <w:t xml:space="preserve"> Komisja i KR zgodziły się na zacieśnienie współpracy. Niniejsza wspólna notatka KR-u i DG EMPL określa obszary polityki, w których należy zacieśnić współpracę, oraz główne instrumenty.</w:t>
      </w:r>
    </w:p>
    <w:p w:rsidR="003D208F" w:rsidRPr="00B9021C" w:rsidRDefault="003D208F">
      <w:pPr>
        <w:rPr>
          <w:rFonts w:ascii="Times New Roman" w:hAnsi="Times New Roman" w:cs="Times New Roman"/>
          <w:lang w:val="en-GB"/>
        </w:rPr>
      </w:pPr>
    </w:p>
    <w:p w:rsidR="00EB524C" w:rsidRPr="00B9021C" w:rsidRDefault="00EA2779" w:rsidP="007D6282">
      <w:pPr>
        <w:pStyle w:val="Heading1"/>
        <w:numPr>
          <w:ilvl w:val="0"/>
          <w:numId w:val="22"/>
        </w:numPr>
        <w:spacing w:before="0"/>
        <w:ind w:left="567" w:hanging="567"/>
        <w:rPr>
          <w:rFonts w:ascii="Times New Roman" w:hAnsi="Times New Roman" w:cs="Times New Roman"/>
          <w:b/>
          <w:color w:val="auto"/>
          <w:sz w:val="24"/>
        </w:rPr>
      </w:pPr>
      <w:r w:rsidRPr="00B9021C">
        <w:rPr>
          <w:rFonts w:ascii="Times New Roman" w:hAnsi="Times New Roman" w:cs="Times New Roman"/>
          <w:b/>
          <w:color w:val="auto"/>
          <w:sz w:val="24"/>
        </w:rPr>
        <w:t>Kluczowe zagadnienia ściślejszej współpracy między KR-em a DG EMPL</w:t>
      </w:r>
    </w:p>
    <w:p w:rsidR="004D765D" w:rsidRPr="00B9021C" w:rsidRDefault="004D765D" w:rsidP="007D6282">
      <w:pPr>
        <w:keepNext/>
        <w:rPr>
          <w:rFonts w:ascii="Times New Roman" w:hAnsi="Times New Roman" w:cs="Times New Roman"/>
          <w:lang w:val="en-GB"/>
        </w:rPr>
      </w:pPr>
    </w:p>
    <w:p w:rsidR="00964812" w:rsidRPr="00B9021C" w:rsidRDefault="008E118B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Ze względu na szeroki zakres tematów związanych z wymiarem społecznym oraz dostępne zasoby, ważne jest, by zintensyfikowana współpraca skupiała się na obszarach, w których KR może wnieść wyraźną wartość dodaną i w których wymiar terytorialny jest najsilniejszy. Obszary wzmocnionej współpracy – które bynajmniej nie stoją na przeszkodzie współpracy w innych dziedzinach, zwłaszcza w zakresie promowania gospodarki społecznej – są zatem następujące:</w:t>
      </w:r>
    </w:p>
    <w:p w:rsidR="003D208F" w:rsidRPr="00B9021C" w:rsidRDefault="003D208F">
      <w:pPr>
        <w:rPr>
          <w:rFonts w:ascii="Times New Roman" w:hAnsi="Times New Roman" w:cs="Times New Roman"/>
          <w:lang w:val="en-GB"/>
        </w:rPr>
      </w:pPr>
    </w:p>
    <w:p w:rsidR="00EA2779" w:rsidRPr="00B9021C" w:rsidRDefault="00EA2779" w:rsidP="007D6282">
      <w:pPr>
        <w:pStyle w:val="Heading2"/>
        <w:rPr>
          <w:rFonts w:ascii="Times New Roman" w:hAnsi="Times New Roman" w:cs="Times New Roman"/>
          <w:color w:val="365F91" w:themeColor="accent1" w:themeShade="BF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t>2.1.</w:t>
      </w:r>
      <w:r w:rsidRPr="00B9021C">
        <w:rPr>
          <w:rFonts w:ascii="Times New Roman" w:hAnsi="Times New Roman" w:cs="Times New Roman"/>
        </w:rPr>
        <w:tab/>
      </w:r>
      <w:r w:rsidRPr="00B9021C">
        <w:rPr>
          <w:rFonts w:ascii="Times New Roman" w:hAnsi="Times New Roman" w:cs="Times New Roman"/>
          <w:b/>
          <w:sz w:val="24"/>
          <w:szCs w:val="32"/>
        </w:rPr>
        <w:t>Europejski filar praw socjalnych</w:t>
      </w:r>
    </w:p>
    <w:p w:rsidR="00EA2779" w:rsidRPr="00B9021C" w:rsidRDefault="00EA2779" w:rsidP="007D6282">
      <w:pPr>
        <w:rPr>
          <w:rFonts w:ascii="Times New Roman" w:hAnsi="Times New Roman" w:cs="Times New Roman"/>
          <w:b/>
          <w:u w:val="single"/>
          <w:lang w:val="en-GB"/>
        </w:rPr>
      </w:pPr>
    </w:p>
    <w:p w:rsidR="005366D6" w:rsidRPr="00B9021C" w:rsidRDefault="005366D6" w:rsidP="005C4F23">
      <w:pPr>
        <w:jc w:val="both"/>
        <w:rPr>
          <w:rFonts w:ascii="Times New Roman" w:hAnsi="Times New Roman" w:cs="Times New Roman"/>
          <w:szCs w:val="24"/>
        </w:rPr>
      </w:pPr>
      <w:r w:rsidRPr="00B9021C">
        <w:rPr>
          <w:rFonts w:ascii="Times New Roman" w:hAnsi="Times New Roman" w:cs="Times New Roman"/>
        </w:rPr>
        <w:t>Europejski filar praw socjalnych jest dokumentem opartym na konsensusie, odzwierciedlającym stanowisko UE w dziedzinie zatrudnienia i spraw społecznych.</w:t>
      </w:r>
      <w:r w:rsidRPr="00B9021C">
        <w:rPr>
          <w:rFonts w:ascii="Times New Roman" w:hAnsi="Times New Roman" w:cs="Times New Roman"/>
          <w:i/>
          <w:szCs w:val="24"/>
        </w:rPr>
        <w:t xml:space="preserve"> </w:t>
      </w:r>
      <w:r w:rsidRPr="00B9021C">
        <w:rPr>
          <w:rFonts w:ascii="Times New Roman" w:hAnsi="Times New Roman" w:cs="Times New Roman"/>
        </w:rPr>
        <w:t>Został ogłoszony na najwyższym szczeblu politycznym i już zdążył przynieść daleko idące środki na poziomie unijnym, krajowym, regionalnym i lokalnym, wzmacniając tym samym wymiar społeczny UE. W swoim komunikacie z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dnia 27 maja 2020 r. Komisja umieściła Europejski filar praw socjalnych w centrum swojego planu działania na rzecz sprawiedliwej i sprzyjającej włączeniu społecznemu odbudowy po kryzysie COVID-19.</w:t>
      </w:r>
    </w:p>
    <w:p w:rsidR="005366D6" w:rsidRPr="00B9021C" w:rsidRDefault="005366D6">
      <w:pPr>
        <w:rPr>
          <w:rFonts w:ascii="Times New Roman" w:hAnsi="Times New Roman" w:cs="Times New Roman"/>
          <w:szCs w:val="24"/>
          <w:lang w:val="en-GB" w:eastAsia="fr-BE"/>
        </w:rPr>
      </w:pPr>
    </w:p>
    <w:p w:rsidR="005366D6" w:rsidRPr="00B9021C" w:rsidRDefault="005366D6" w:rsidP="005C4F23">
      <w:pPr>
        <w:jc w:val="both"/>
        <w:rPr>
          <w:rFonts w:ascii="Times New Roman" w:hAnsi="Times New Roman" w:cs="Times New Roman"/>
          <w:szCs w:val="24"/>
        </w:rPr>
      </w:pPr>
      <w:r w:rsidRPr="00B9021C">
        <w:rPr>
          <w:rFonts w:ascii="Times New Roman" w:hAnsi="Times New Roman" w:cs="Times New Roman"/>
        </w:rPr>
        <w:t xml:space="preserve">W programie strategicznym na lata 2019–2024 uzgodnionym przez Radę Europejską w czerwcu 2019 r. wzywa się do wdrożenia filaru na szczeblu UE i państw członkowskich, z należytym uwzględnieniem odpowiednich kompetencji. </w:t>
      </w:r>
    </w:p>
    <w:p w:rsidR="003D208F" w:rsidRPr="00B9021C" w:rsidRDefault="003D208F">
      <w:pPr>
        <w:rPr>
          <w:rFonts w:ascii="Times New Roman" w:hAnsi="Times New Roman" w:cs="Times New Roman"/>
          <w:szCs w:val="24"/>
          <w:lang w:val="en-GB" w:eastAsia="en-GB"/>
        </w:rPr>
      </w:pPr>
    </w:p>
    <w:p w:rsidR="005366D6" w:rsidRPr="00B9021C" w:rsidRDefault="005366D6" w:rsidP="005C4F23">
      <w:pPr>
        <w:jc w:val="both"/>
        <w:rPr>
          <w:rFonts w:ascii="Times New Roman" w:hAnsi="Times New Roman" w:cs="Times New Roman"/>
          <w:szCs w:val="24"/>
        </w:rPr>
      </w:pPr>
      <w:r w:rsidRPr="00B9021C">
        <w:rPr>
          <w:rFonts w:ascii="Times New Roman" w:hAnsi="Times New Roman" w:cs="Times New Roman"/>
        </w:rPr>
        <w:t>Wytyczne polityczne przewodniczącej Ursuli von der Leyen dla Komisji zawierają zobowiązanie do przedstawienia planu działania w celu pełnego wdrożenia Europejskiego filaru praw socjalnych. W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komunikacie Komisji z dnia 14 stycznia 2020 r. „Silna Europa socjalna na rzecz sprawiedliwej transformacji” przedstawiono szereg kluczowych działań na lata 2020 i 2021 oraz rozpoczęto szeroko zakrojone konsultacje i proces zaangażowania, które mają stanowić wkład w przygotowania do planu działania. Potrzeba wsparcia i ochrony socjalnej jest jeszcze bardziej paląca w czasie trwającej pandemii COVID-19, ponieważ systemy wsparcia społecznego państw członkowskich znajdują się pod ogromną presją, a tkanka społeczna UE jest zagrożona załamaniem.</w:t>
      </w:r>
    </w:p>
    <w:p w:rsidR="005366D6" w:rsidRPr="00B9021C" w:rsidRDefault="005366D6">
      <w:pPr>
        <w:rPr>
          <w:rFonts w:ascii="Times New Roman" w:hAnsi="Times New Roman" w:cs="Times New Roman"/>
          <w:szCs w:val="24"/>
          <w:lang w:val="en-GB" w:eastAsia="en-GB"/>
        </w:rPr>
      </w:pPr>
    </w:p>
    <w:p w:rsidR="005366D6" w:rsidRPr="00B9021C" w:rsidRDefault="005366D6" w:rsidP="005C4F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B9021C">
        <w:rPr>
          <w:rFonts w:ascii="Times New Roman" w:hAnsi="Times New Roman" w:cs="Times New Roman"/>
        </w:rPr>
        <w:lastRenderedPageBreak/>
        <w:t xml:space="preserve">Celem Komisji jest przedstawienie planu działania na początku 2021 r. oraz dążenie do jego zatwierdzenia na najwyższym szczeblu politycznym podczas szczytu społecznego, który ma zostać zorganizowany przez portugalską prezydencję Rady w maju 2021 r. </w:t>
      </w:r>
    </w:p>
    <w:p w:rsidR="00CE0C02" w:rsidRPr="00B9021C" w:rsidRDefault="00CE0C02">
      <w:pPr>
        <w:rPr>
          <w:rFonts w:ascii="Times New Roman" w:hAnsi="Times New Roman" w:cs="Times New Roman"/>
          <w:bCs/>
          <w:u w:val="single"/>
          <w:lang w:val="en-GB"/>
        </w:rPr>
      </w:pPr>
    </w:p>
    <w:p w:rsidR="00EA2779" w:rsidRPr="00B9021C" w:rsidRDefault="00B40809" w:rsidP="005C4F23">
      <w:pPr>
        <w:jc w:val="both"/>
        <w:rPr>
          <w:rFonts w:ascii="Times New Roman" w:hAnsi="Times New Roman" w:cs="Times New Roman"/>
          <w:bCs/>
        </w:rPr>
      </w:pPr>
      <w:r w:rsidRPr="00B9021C">
        <w:rPr>
          <w:rFonts w:ascii="Times New Roman" w:hAnsi="Times New Roman" w:cs="Times New Roman"/>
        </w:rPr>
        <w:t>Jest oczywiste, że władze lokalne i regionalne odgrywają ważną rolę w opracowywaniu i wdrażaniu polityki zatrudnienia i polityki społecznej w UE. Kryzys wywołany przez COVID-19 wywiera różnoraki wpływ na regiony, w zależności od ich struktury gospodarczej i narażenia zdrowia. Władze lokalne i regionalne mogą pomóc w opracowywaniu i wdrażaniu reagowania kryzysowego, które umożliwi sprostanie wyzwaniom dla spójności społecznej i terytorialnej występującym przed kryzysem i po nim. Konieczne jest zatem zaangażowanie władz lokalnych i regionalnych – w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szczególności poprzez:</w:t>
      </w:r>
    </w:p>
    <w:p w:rsidR="00CB78E1" w:rsidRPr="00B9021C" w:rsidRDefault="00CB78E1" w:rsidP="007D6282">
      <w:pPr>
        <w:rPr>
          <w:rFonts w:ascii="Times New Roman" w:hAnsi="Times New Roman" w:cs="Times New Roman"/>
          <w:bCs/>
          <w:u w:val="single"/>
          <w:lang w:val="en-GB"/>
        </w:rPr>
      </w:pPr>
    </w:p>
    <w:p w:rsidR="00CB78E1" w:rsidRPr="00B9021C" w:rsidRDefault="00F771E0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opinię KR-u w sprawie komunikatu „Silna Europa socjalna na rzecz sprawiedliwej transformacji” (sprawozdawczyni: Anne Karjalainen (FI/PES), przyjęcie na sesji plenarnej w październiku 2020 r.), która stanowi ogólną odpowiedź KR-u na komunikat Komisji,</w:t>
      </w:r>
    </w:p>
    <w:p w:rsidR="00421A56" w:rsidRPr="00B9021C" w:rsidRDefault="00421A56" w:rsidP="007D6282">
      <w:pPr>
        <w:pStyle w:val="ListParagraph"/>
        <w:spacing w:after="0" w:line="288" w:lineRule="auto"/>
        <w:ind w:left="360"/>
        <w:jc w:val="both"/>
        <w:rPr>
          <w:rFonts w:ascii="Times New Roman" w:hAnsi="Times New Roman" w:cs="Times New Roman"/>
          <w:bCs/>
        </w:rPr>
      </w:pPr>
    </w:p>
    <w:p w:rsidR="00176CAE" w:rsidRPr="00B9021C" w:rsidRDefault="00176CAE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opinię KR-u w sprawie komunikatu „Plan na przyszłość dotyczący opiekunów i opieki – lokalne i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regionalne szanse związane z europejskim wyzwaniem” (sprawozdawca do potwierdzenia),</w:t>
      </w:r>
    </w:p>
    <w:p w:rsidR="00E136C4" w:rsidRPr="00B9021C" w:rsidRDefault="00E136C4" w:rsidP="007D6282">
      <w:pPr>
        <w:pStyle w:val="ListParagraph"/>
        <w:spacing w:after="0" w:line="288" w:lineRule="auto"/>
        <w:ind w:left="360"/>
        <w:jc w:val="both"/>
        <w:rPr>
          <w:rFonts w:ascii="Times New Roman" w:hAnsi="Times New Roman" w:cs="Times New Roman"/>
        </w:rPr>
      </w:pPr>
    </w:p>
    <w:p w:rsidR="00F771E0" w:rsidRPr="00B9021C" w:rsidRDefault="00421A56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sesję Europejskiego Tygodnia Regionów i Miast 2020 „Zabezpieczenia społeczne dla pracowników pracujących za pośrednictwem platform – wyzwania i możliwości” z udziałem DG EMPL,</w:t>
      </w:r>
    </w:p>
    <w:p w:rsidR="00267B85" w:rsidRPr="00B9021C" w:rsidRDefault="00267B85" w:rsidP="007D6282">
      <w:pPr>
        <w:pStyle w:val="ListParagraph"/>
        <w:spacing w:after="0" w:line="288" w:lineRule="auto"/>
        <w:ind w:left="360"/>
        <w:jc w:val="both"/>
        <w:rPr>
          <w:rFonts w:ascii="Times New Roman" w:hAnsi="Times New Roman" w:cs="Times New Roman"/>
        </w:rPr>
      </w:pPr>
    </w:p>
    <w:p w:rsidR="00512960" w:rsidRPr="00B9021C" w:rsidRDefault="00F5129F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B9021C">
        <w:rPr>
          <w:rFonts w:ascii="Times New Roman" w:hAnsi="Times New Roman" w:cs="Times New Roman"/>
        </w:rPr>
        <w:t>zbadanie przez Komisję i KR wraz z portugalską prezydencją w Radzie możliwości udziału KR-u w szczycie społecznym w celu odzwierciedlenia terytorialnego wymiaru wdrażania Europejskiego filaru praw socjalnych.</w:t>
      </w:r>
    </w:p>
    <w:p w:rsidR="00151730" w:rsidRPr="00B9021C" w:rsidRDefault="00151730" w:rsidP="007D6282">
      <w:pPr>
        <w:rPr>
          <w:rFonts w:ascii="Times New Roman" w:hAnsi="Times New Roman" w:cs="Times New Roman"/>
          <w:lang w:val="en-GB"/>
        </w:rPr>
      </w:pPr>
    </w:p>
    <w:p w:rsidR="00EA2779" w:rsidRPr="00B9021C" w:rsidRDefault="00EA2779" w:rsidP="007D6282">
      <w:pPr>
        <w:pStyle w:val="Heading2"/>
        <w:ind w:left="426" w:hanging="426"/>
        <w:jc w:val="both"/>
        <w:rPr>
          <w:rFonts w:ascii="Times New Roman" w:eastAsiaTheme="majorEastAsia" w:hAnsi="Times New Roman" w:cs="Times New Roman"/>
          <w:b/>
          <w:color w:val="365F91" w:themeColor="accent1" w:themeShade="BF"/>
          <w:sz w:val="24"/>
          <w:szCs w:val="32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t>2.2.</w:t>
      </w:r>
      <w:r w:rsidRPr="00B9021C">
        <w:rPr>
          <w:rFonts w:ascii="Times New Roman" w:hAnsi="Times New Roman" w:cs="Times New Roman"/>
          <w:b/>
          <w:sz w:val="24"/>
          <w:szCs w:val="24"/>
        </w:rPr>
        <w:tab/>
      </w:r>
      <w:r w:rsidRPr="00B9021C">
        <w:rPr>
          <w:rFonts w:ascii="Times New Roman" w:hAnsi="Times New Roman" w:cs="Times New Roman"/>
          <w:b/>
          <w:sz w:val="24"/>
          <w:szCs w:val="32"/>
        </w:rPr>
        <w:t>Przygotowanie Europejskiego Funduszu Społecznego Plus (EFS+) i instrumentu REACT-EU w celu zapewnienia odpowiedniego finansowania środków na rzecz zatrudnienia młodzieży</w:t>
      </w:r>
    </w:p>
    <w:p w:rsidR="00527019" w:rsidRPr="00B9021C" w:rsidRDefault="00527019">
      <w:pPr>
        <w:keepNext/>
        <w:rPr>
          <w:rFonts w:ascii="Times New Roman" w:hAnsi="Times New Roman" w:cs="Times New Roman"/>
          <w:lang w:val="en-GB"/>
        </w:rPr>
      </w:pPr>
    </w:p>
    <w:p w:rsidR="00527019" w:rsidRPr="00B9021C" w:rsidRDefault="00527019" w:rsidP="005C4F23">
      <w:pPr>
        <w:jc w:val="both"/>
        <w:rPr>
          <w:rFonts w:ascii="Times New Roman" w:hAnsi="Times New Roman" w:cs="Times New Roman"/>
          <w:bCs/>
        </w:rPr>
      </w:pPr>
      <w:r w:rsidRPr="00B9021C">
        <w:rPr>
          <w:rFonts w:ascii="Times New Roman" w:hAnsi="Times New Roman" w:cs="Times New Roman"/>
        </w:rPr>
        <w:t>Wiele organów władz lokalnych i regionalnych jest obecnie mocno zaangażowanych w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przygotowywanie przyszłych programów EFS+ i opracowywanie projektów, które będą korzystać ze środków EFS+. Komisja zaproponowała zwiększenie finansowania środków na rzecz zatrudniania młodzieży w ramach EFS+ w państwach członkowskich, w których odsetek młodzieży niekształcącej się, niepracującej ani nieszkolącej się jest wyższy od średniej unijnej</w:t>
      </w:r>
      <w:r w:rsidR="006E25E8" w:rsidRPr="00B9021C">
        <w:rPr>
          <w:rStyle w:val="FootnoteReference"/>
          <w:rFonts w:ascii="Times New Roman" w:hAnsi="Times New Roman" w:cs="Times New Roman"/>
          <w:bCs/>
          <w:sz w:val="24"/>
          <w:szCs w:val="24"/>
          <w:lang w:val="en-GB"/>
        </w:rPr>
        <w:footnoteReference w:id="4"/>
      </w:r>
      <w:r w:rsidRPr="00B9021C">
        <w:rPr>
          <w:rFonts w:ascii="Times New Roman" w:hAnsi="Times New Roman" w:cs="Times New Roman"/>
        </w:rPr>
        <w:t>. Ponadto nowy program REACT-EU może wspierać działania na rzecz zatrudniania młodzieży. Potrzeba pełnego wykorzystania tego dodatkowego wsparcia ma zasadnicze znaczenie w świetle obecnej pandemii i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prawdopodobnego wpływu, jaki mogłaby wywrzeć na zatrudnienie młodzieży.</w:t>
      </w:r>
    </w:p>
    <w:p w:rsidR="00CB78E1" w:rsidRPr="00B9021C" w:rsidRDefault="00CB78E1">
      <w:pPr>
        <w:rPr>
          <w:rFonts w:ascii="Times New Roman" w:hAnsi="Times New Roman" w:cs="Times New Roman"/>
          <w:bCs/>
          <w:u w:val="single"/>
          <w:lang w:val="en-GB"/>
        </w:rPr>
      </w:pPr>
    </w:p>
    <w:p w:rsidR="00AE28C2" w:rsidRPr="00B9021C" w:rsidRDefault="00F52BD7" w:rsidP="005C4F23">
      <w:pPr>
        <w:jc w:val="both"/>
        <w:rPr>
          <w:rFonts w:ascii="Times New Roman" w:hAnsi="Times New Roman" w:cs="Times New Roman"/>
          <w:bCs/>
        </w:rPr>
      </w:pPr>
      <w:r w:rsidRPr="00B9021C">
        <w:rPr>
          <w:rFonts w:ascii="Times New Roman" w:hAnsi="Times New Roman" w:cs="Times New Roman"/>
        </w:rPr>
        <w:lastRenderedPageBreak/>
        <w:t>KR mógłby ułatwić wymianę informacji i sprawdzonych rozwiązań w zakresie finansowania ze środków REACT-EU i EFS+ w ramach wspierania działań na rzecz zatrudniania młodzieży. Taka pomoc finansowa przyczyni się do realizacji ogólnego celu UE, który polega na przeznaczeniu na to co najmniej 22 mld EUR</w:t>
      </w:r>
      <w:r w:rsidR="008911F1" w:rsidRPr="00B9021C">
        <w:rPr>
          <w:rStyle w:val="FootnoteReference"/>
          <w:rFonts w:ascii="Times New Roman" w:hAnsi="Times New Roman" w:cs="Times New Roman"/>
          <w:bCs/>
          <w:sz w:val="24"/>
          <w:szCs w:val="24"/>
          <w:lang w:val="en-GB"/>
        </w:rPr>
        <w:footnoteReference w:id="5"/>
      </w:r>
      <w:r w:rsidRPr="00B9021C">
        <w:rPr>
          <w:rFonts w:ascii="Times New Roman" w:hAnsi="Times New Roman" w:cs="Times New Roman"/>
        </w:rPr>
        <w:t>, i będzie stanowić element finansowania wzmocnionej gwarancji dla młodzieży</w:t>
      </w:r>
      <w:r w:rsidR="008911F1" w:rsidRPr="00B9021C">
        <w:rPr>
          <w:rStyle w:val="FootnoteReference"/>
          <w:rFonts w:ascii="Times New Roman" w:hAnsi="Times New Roman" w:cs="Times New Roman"/>
          <w:bCs/>
          <w:sz w:val="24"/>
          <w:szCs w:val="24"/>
          <w:lang w:val="en-GB"/>
        </w:rPr>
        <w:footnoteReference w:id="6"/>
      </w:r>
      <w:r w:rsidRPr="00B9021C">
        <w:rPr>
          <w:rFonts w:ascii="Times New Roman" w:hAnsi="Times New Roman" w:cs="Times New Roman"/>
        </w:rPr>
        <w:t xml:space="preserve">. </w:t>
      </w:r>
    </w:p>
    <w:p w:rsidR="00AE28C2" w:rsidRPr="00B9021C" w:rsidRDefault="00AE28C2">
      <w:pPr>
        <w:rPr>
          <w:rFonts w:ascii="Times New Roman" w:hAnsi="Times New Roman" w:cs="Times New Roman"/>
          <w:bCs/>
          <w:u w:val="single"/>
          <w:lang w:val="en-GB"/>
        </w:rPr>
      </w:pPr>
    </w:p>
    <w:p w:rsidR="006106B7" w:rsidRPr="00B9021C" w:rsidRDefault="002867F1" w:rsidP="005C4F23">
      <w:pPr>
        <w:jc w:val="both"/>
        <w:rPr>
          <w:rFonts w:ascii="Times New Roman" w:hAnsi="Times New Roman" w:cs="Times New Roman"/>
          <w:bCs/>
        </w:rPr>
      </w:pPr>
      <w:r w:rsidRPr="00B9021C">
        <w:rPr>
          <w:rFonts w:ascii="Times New Roman" w:hAnsi="Times New Roman" w:cs="Times New Roman"/>
        </w:rPr>
        <w:t>KR mógłby wspierać dialog między władzami lokalnymi i regionalnymi w opracowywaniu koncepcji zwalczania bezrobocia wśród młodzieży w ścisłej współpracy z partnerami społecznymi zgodnie z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 xml:space="preserve">duchem zasady partnerstwa oraz stać się platformą wymiany pomysłów i strategii politycznych między regionami i miastami. </w:t>
      </w:r>
    </w:p>
    <w:p w:rsidR="006106B7" w:rsidRPr="00B9021C" w:rsidRDefault="006106B7">
      <w:pPr>
        <w:rPr>
          <w:rFonts w:ascii="Times New Roman" w:hAnsi="Times New Roman" w:cs="Times New Roman"/>
          <w:bCs/>
          <w:lang w:val="en-GB"/>
        </w:rPr>
      </w:pPr>
    </w:p>
    <w:p w:rsidR="00527019" w:rsidRPr="00B9021C" w:rsidRDefault="006106B7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 ten sposób KR może podjąć konstruktywne działania następcze w stosunku do komunikatu Komisji „Wspieranie zatrudnienia ludzi młodych: pomost do zatrudnienia dla kolejnego pokolenia”</w:t>
      </w:r>
      <w:r w:rsidR="00150CCB" w:rsidRPr="00B9021C">
        <w:rPr>
          <w:rStyle w:val="FootnoteReference"/>
          <w:rFonts w:ascii="Times New Roman" w:hAnsi="Times New Roman" w:cs="Times New Roman"/>
          <w:sz w:val="24"/>
          <w:szCs w:val="24"/>
          <w:lang w:val="en-GB"/>
        </w:rPr>
        <w:footnoteReference w:id="7"/>
      </w:r>
      <w:r w:rsidRPr="00B9021C">
        <w:rPr>
          <w:rFonts w:ascii="Times New Roman" w:hAnsi="Times New Roman" w:cs="Times New Roman"/>
        </w:rPr>
        <w:t xml:space="preserve"> oraz odbywać dalsze spotkania z DG EMPL. </w:t>
      </w:r>
    </w:p>
    <w:p w:rsidR="00F165DD" w:rsidRPr="00B9021C" w:rsidRDefault="00F165DD">
      <w:pPr>
        <w:rPr>
          <w:rFonts w:ascii="Times New Roman" w:hAnsi="Times New Roman" w:cs="Times New Roman"/>
          <w:bCs/>
          <w:lang w:val="en-GB"/>
        </w:rPr>
      </w:pPr>
    </w:p>
    <w:p w:rsidR="00CB78E1" w:rsidRPr="00B9021C" w:rsidRDefault="00CB78E1" w:rsidP="007D6282">
      <w:pPr>
        <w:pStyle w:val="Heading2"/>
        <w:ind w:left="567" w:hanging="567"/>
        <w:jc w:val="both"/>
        <w:rPr>
          <w:rFonts w:ascii="Times New Roman" w:eastAsiaTheme="majorEastAsia" w:hAnsi="Times New Roman" w:cs="Times New Roman"/>
          <w:b/>
          <w:color w:val="365F91" w:themeColor="accent1" w:themeShade="BF"/>
          <w:sz w:val="24"/>
          <w:szCs w:val="32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B9021C">
        <w:rPr>
          <w:rFonts w:ascii="Times New Roman" w:hAnsi="Times New Roman" w:cs="Times New Roman"/>
          <w:b/>
          <w:sz w:val="24"/>
          <w:szCs w:val="24"/>
        </w:rPr>
        <w:tab/>
      </w:r>
      <w:r w:rsidRPr="00B9021C">
        <w:rPr>
          <w:rFonts w:ascii="Times New Roman" w:hAnsi="Times New Roman" w:cs="Times New Roman"/>
          <w:b/>
          <w:sz w:val="24"/>
          <w:szCs w:val="32"/>
        </w:rPr>
        <w:t xml:space="preserve">Program na rzecz umiejętności </w:t>
      </w:r>
    </w:p>
    <w:p w:rsidR="006106B7" w:rsidRPr="00B9021C" w:rsidRDefault="006106B7" w:rsidP="007D6282">
      <w:pPr>
        <w:keepNext/>
        <w:rPr>
          <w:rFonts w:ascii="Times New Roman" w:eastAsiaTheme="majorEastAsia" w:hAnsi="Times New Roman" w:cs="Times New Roman"/>
          <w:lang w:val="en-GB"/>
        </w:rPr>
      </w:pPr>
    </w:p>
    <w:p w:rsidR="006106B7" w:rsidRPr="00B9021C" w:rsidRDefault="00EE2DE9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Wpływ pandemii na sposób, w jaki pracujemy, oraz dwojaka transformacja w gospodarkę cyfrową i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ekologiczną zdecydowanie zmieniają paradygmat umiejętności w UE. W związku z tym konieczne jest promowanie i łączenie lokalnej perspektywy w zakresie umiejętności określonej w niedawnym Europejskim programie na rzecz umiejętności służącym zrównoważonej konkurencyjności, sprawiedliwości społecznej i odporności</w:t>
      </w:r>
      <w:r w:rsidR="002867F1" w:rsidRPr="00B9021C">
        <w:rPr>
          <w:rStyle w:val="FootnoteReference"/>
          <w:rFonts w:ascii="Times New Roman" w:hAnsi="Times New Roman" w:cs="Times New Roman"/>
          <w:bCs/>
          <w:sz w:val="24"/>
          <w:szCs w:val="24"/>
          <w:lang w:val="en-GB"/>
        </w:rPr>
        <w:footnoteReference w:id="8"/>
      </w:r>
      <w:r w:rsidRPr="00B9021C">
        <w:rPr>
          <w:rFonts w:ascii="Times New Roman" w:hAnsi="Times New Roman" w:cs="Times New Roman"/>
        </w:rPr>
        <w:t>. Praca na szczeblu lokalnym może zmaksymalizować zaangażowanie lokalnych partnerów, takich jak MŚP, przy jednoczesnym lepszym zrozumieniu potrzeb lokalnego rynku pracy i wykorzystaniu synergii z innymi strategiami lokalnymi i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regionalnymi. Ponadto perspektywa lokalna i regionalna może pomóc w tworzeniu przewidywań jakościowych i prognoz ilościowych dotyczących umiejętności, które z kolei mogą przekształcić się w model lub metodę przewidywania umiejętności do wykorzystania podczas przyszłego planowania lub kształtowania polityki.</w:t>
      </w:r>
    </w:p>
    <w:p w:rsidR="006106B7" w:rsidRPr="00B9021C" w:rsidRDefault="006106B7">
      <w:pPr>
        <w:rPr>
          <w:rFonts w:ascii="Times New Roman" w:hAnsi="Times New Roman" w:cs="Times New Roman"/>
          <w:bCs/>
          <w:lang w:val="en-GB"/>
        </w:rPr>
      </w:pPr>
    </w:p>
    <w:p w:rsidR="00421A56" w:rsidRPr="00B9021C" w:rsidRDefault="00150CCB" w:rsidP="007D6282">
      <w:pPr>
        <w:rPr>
          <w:rFonts w:ascii="Times New Roman" w:hAnsi="Times New Roman" w:cs="Times New Roman"/>
          <w:bCs/>
        </w:rPr>
      </w:pPr>
      <w:r w:rsidRPr="00B9021C">
        <w:rPr>
          <w:rFonts w:ascii="Times New Roman" w:hAnsi="Times New Roman" w:cs="Times New Roman"/>
        </w:rPr>
        <w:t>Dalszą współpracę można zapewnić poprzez następujące działania:</w:t>
      </w:r>
    </w:p>
    <w:p w:rsidR="000A7400" w:rsidRPr="00B9021C" w:rsidRDefault="000A7400" w:rsidP="007D6282">
      <w:pPr>
        <w:pStyle w:val="ListParagraph"/>
        <w:spacing w:after="0" w:line="288" w:lineRule="auto"/>
        <w:ind w:left="360"/>
        <w:jc w:val="both"/>
        <w:rPr>
          <w:rStyle w:val="normaltextrun"/>
          <w:rFonts w:ascii="Times New Roman" w:hAnsi="Times New Roman" w:cs="Times New Roman"/>
        </w:rPr>
      </w:pPr>
    </w:p>
    <w:p w:rsidR="000A7400" w:rsidRPr="00B9021C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  <w:rFonts w:ascii="Times New Roman" w:hAnsi="Times New Roman" w:cs="Times New Roman"/>
        </w:rPr>
      </w:pPr>
      <w:r w:rsidRPr="00B9021C">
        <w:rPr>
          <w:rStyle w:val="normaltextrun"/>
          <w:rFonts w:ascii="Times New Roman" w:hAnsi="Times New Roman" w:cs="Times New Roman"/>
        </w:rPr>
        <w:t>wspólne promowanie paktu na rzecz umiejętności jako sposobu budowania przez regiony partnerstw z przemysłem i podmiotami realizującymi szkolenia w zakresie podnoszenia i</w:t>
      </w:r>
      <w:r w:rsidR="00574CC5">
        <w:rPr>
          <w:rStyle w:val="normaltextrun"/>
          <w:rFonts w:ascii="Times New Roman" w:hAnsi="Times New Roman" w:cs="Times New Roman"/>
        </w:rPr>
        <w:t> </w:t>
      </w:r>
      <w:r w:rsidRPr="00B9021C">
        <w:rPr>
          <w:rStyle w:val="normaltextrun"/>
          <w:rFonts w:ascii="Times New Roman" w:hAnsi="Times New Roman" w:cs="Times New Roman"/>
        </w:rPr>
        <w:t>przekwalifikowywania miejscowej ludności,</w:t>
      </w:r>
    </w:p>
    <w:p w:rsidR="00421A56" w:rsidRPr="00B9021C" w:rsidRDefault="000A740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  <w:rFonts w:ascii="Times New Roman" w:hAnsi="Times New Roman" w:cs="Times New Roman"/>
        </w:rPr>
      </w:pPr>
      <w:r w:rsidRPr="00B9021C">
        <w:rPr>
          <w:rStyle w:val="normaltextrun"/>
          <w:rFonts w:ascii="Times New Roman" w:hAnsi="Times New Roman" w:cs="Times New Roman"/>
        </w:rPr>
        <w:lastRenderedPageBreak/>
        <w:t>konferencję wysokiego szczebla w sprawie przygotowania zawodowego, współorganizowaną z</w:t>
      </w:r>
      <w:r w:rsidR="00574CC5">
        <w:rPr>
          <w:rStyle w:val="normaltextrun"/>
          <w:rFonts w:ascii="Times New Roman" w:hAnsi="Times New Roman" w:cs="Times New Roman"/>
        </w:rPr>
        <w:t> </w:t>
      </w:r>
      <w:r w:rsidRPr="00B9021C">
        <w:rPr>
          <w:rStyle w:val="normaltextrun"/>
          <w:rFonts w:ascii="Times New Roman" w:hAnsi="Times New Roman" w:cs="Times New Roman"/>
        </w:rPr>
        <w:t>DG EMPL, zatytułowaną „Rola regionów i miast w zapewnianiu przygotowania zawodowego wysokiej jakości”, zaplanowaną na wiosnę 2021 r. ze względu na COVID-19, obejmującą dodatkowe wydarzenia internetowe prowadzące do głównej konferencji:</w:t>
      </w:r>
    </w:p>
    <w:p w:rsidR="000A7400" w:rsidRPr="00B9021C" w:rsidRDefault="000A7400">
      <w:pPr>
        <w:rPr>
          <w:rStyle w:val="normaltextrun"/>
          <w:rFonts w:ascii="Times New Roman" w:hAnsi="Times New Roman" w:cs="Times New Roman"/>
          <w:lang w:val="en-GB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3817"/>
        <w:gridCol w:w="2069"/>
      </w:tblGrid>
      <w:tr w:rsidR="00AF556E" w:rsidRPr="00B9021C"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B9021C">
              <w:rPr>
                <w:rFonts w:ascii="Times New Roman" w:hAnsi="Times New Roman" w:cs="Times New Roman"/>
                <w:b/>
                <w:bCs/>
                <w:color w:val="FFFFFF"/>
              </w:rPr>
              <w:t>Termin</w:t>
            </w:r>
          </w:p>
        </w:tc>
        <w:tc>
          <w:tcPr>
            <w:tcW w:w="3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B9021C">
              <w:rPr>
                <w:rFonts w:ascii="Times New Roman" w:hAnsi="Times New Roman" w:cs="Times New Roman"/>
                <w:b/>
                <w:bCs/>
                <w:color w:val="FFFFFF"/>
              </w:rPr>
              <w:t>Seminaria internetowe/konferencje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B9021C">
              <w:rPr>
                <w:rFonts w:ascii="Times New Roman" w:hAnsi="Times New Roman" w:cs="Times New Roman"/>
                <w:b/>
                <w:bCs/>
                <w:color w:val="FFFFFF"/>
              </w:rPr>
              <w:t>Temat</w:t>
            </w:r>
          </w:p>
        </w:tc>
      </w:tr>
      <w:tr w:rsidR="00AF556E" w:rsidRPr="00B9021C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Wtorek, 29 września 2020 r.,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 xml:space="preserve">Pierwsze seminarium internetowe: </w:t>
            </w:r>
            <w:r w:rsidRPr="00B9021C">
              <w:rPr>
                <w:rFonts w:ascii="Times New Roman" w:hAnsi="Times New Roman" w:cs="Times New Roman"/>
                <w:i/>
                <w:iCs/>
              </w:rPr>
              <w:t>Wpływ pandemii COVID-19 na przygotowanie zawodowe. Rola miast i regionów.</w:t>
            </w:r>
            <w:r w:rsidRPr="00B902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Nacisk na reakcję na epidemię COVID-19</w:t>
            </w:r>
          </w:p>
        </w:tc>
      </w:tr>
      <w:tr w:rsidR="00AF556E" w:rsidRPr="00B9021C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Styczeń/luty 2021 r.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 xml:space="preserve">Drugie seminarium internetowe: </w:t>
            </w:r>
            <w:r w:rsidRPr="00B9021C">
              <w:rPr>
                <w:rFonts w:ascii="Times New Roman" w:hAnsi="Times New Roman" w:cs="Times New Roman"/>
                <w:i/>
                <w:iCs/>
              </w:rPr>
              <w:t>Dwojaka transformacja: rola miast w zapewnianiu przygotowania zawodowego wysokiej jakości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Nacisk na dwojaką transformację ekologiczną i</w:t>
            </w:r>
            <w:r w:rsidR="00574CC5">
              <w:rPr>
                <w:rFonts w:ascii="Times New Roman" w:hAnsi="Times New Roman" w:cs="Times New Roman"/>
              </w:rPr>
              <w:t> </w:t>
            </w:r>
            <w:r w:rsidRPr="00B9021C">
              <w:rPr>
                <w:rFonts w:ascii="Times New Roman" w:hAnsi="Times New Roman" w:cs="Times New Roman"/>
              </w:rPr>
              <w:t>cyfrową</w:t>
            </w:r>
          </w:p>
        </w:tc>
      </w:tr>
      <w:tr w:rsidR="00AF556E" w:rsidRPr="00B9021C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Marzec/kwiecień 2021 r.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 xml:space="preserve">Trzecie seminarium internetowe: </w:t>
            </w:r>
            <w:r w:rsidRPr="00B9021C">
              <w:rPr>
                <w:rFonts w:ascii="Times New Roman" w:hAnsi="Times New Roman" w:cs="Times New Roman"/>
                <w:i/>
                <w:iCs/>
              </w:rPr>
              <w:t>Dwojaka transformacja: rola regionów w zapewnianiu przygotowania zawodowego wysokiej jakości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Nacisk na dwojaką transformację ekologiczną i</w:t>
            </w:r>
            <w:r w:rsidR="00574CC5">
              <w:rPr>
                <w:rFonts w:ascii="Times New Roman" w:hAnsi="Times New Roman" w:cs="Times New Roman"/>
              </w:rPr>
              <w:t> </w:t>
            </w:r>
            <w:r w:rsidRPr="00B9021C">
              <w:rPr>
                <w:rFonts w:ascii="Times New Roman" w:hAnsi="Times New Roman" w:cs="Times New Roman"/>
              </w:rPr>
              <w:t xml:space="preserve">cyfrową </w:t>
            </w:r>
          </w:p>
        </w:tc>
      </w:tr>
      <w:tr w:rsidR="00AF556E" w:rsidRPr="00B9021C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3–4 czerwca 2021 r. (do potwierdzenia)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 xml:space="preserve">Główna konferencja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Do potwierdzenia</w:t>
            </w:r>
          </w:p>
        </w:tc>
      </w:tr>
      <w:tr w:rsidR="00AF556E" w:rsidRPr="00B9021C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>
            <w:pPr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Do potwierdzenia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Spotkania w sprawie działań następczych (online)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B9021C" w:rsidRDefault="000A7400" w:rsidP="00574CC5">
            <w:pPr>
              <w:jc w:val="both"/>
              <w:rPr>
                <w:rFonts w:ascii="Times New Roman" w:hAnsi="Times New Roman" w:cs="Times New Roman"/>
              </w:rPr>
            </w:pPr>
            <w:r w:rsidRPr="00B9021C">
              <w:rPr>
                <w:rFonts w:ascii="Times New Roman" w:hAnsi="Times New Roman" w:cs="Times New Roman"/>
              </w:rPr>
              <w:t>Do potwierdzenia</w:t>
            </w:r>
          </w:p>
        </w:tc>
      </w:tr>
    </w:tbl>
    <w:p w:rsidR="002D435E" w:rsidRPr="00B9021C" w:rsidRDefault="002D435E" w:rsidP="007D6282">
      <w:pPr>
        <w:pStyle w:val="ListParagraph"/>
        <w:spacing w:after="0" w:line="288" w:lineRule="auto"/>
        <w:ind w:left="360"/>
        <w:jc w:val="both"/>
        <w:rPr>
          <w:rStyle w:val="normaltextrun"/>
          <w:rFonts w:ascii="Times New Roman" w:hAnsi="Times New Roman" w:cs="Times New Roman"/>
        </w:rPr>
      </w:pPr>
    </w:p>
    <w:p w:rsidR="002D435E" w:rsidRPr="00B9021C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 xml:space="preserve">dalsza współpraca będzie się rozwijać w ramach przygotowywania opinii w sprawie europejskiego programu na rzecz umiejętności w zakresie zrównoważonej konkurencyjności, sprawiedliwości społecznej i odporności (sprawozdawca: Csaba Borboly, RO/EPL), </w:t>
      </w:r>
    </w:p>
    <w:p w:rsidR="00F165DD" w:rsidRPr="00B9021C" w:rsidRDefault="00F165DD" w:rsidP="007D6282">
      <w:pPr>
        <w:pStyle w:val="ListParagraph"/>
        <w:spacing w:after="0" w:line="288" w:lineRule="auto"/>
        <w:ind w:left="360"/>
        <w:jc w:val="both"/>
        <w:rPr>
          <w:rFonts w:ascii="Times New Roman" w:hAnsi="Times New Roman" w:cs="Times New Roman"/>
        </w:rPr>
      </w:pPr>
    </w:p>
    <w:p w:rsidR="00176CAE" w:rsidRPr="00B9021C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współpraca w ramach europejskiego sojuszu na rzecz przygotowania zawodowego – KR i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europejski sojusz na rzecz przygotowania zawodowego mogłyby dalej pracować nad jednym z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priorytetów odnowionych sojuszy „Mobilizowanie władz lokalnych i regionalnych jako katalizatorów przygotowania zawodowego w środowisku lokalnych przedsiębiorstw”; przykładem może być nowa sieć miast na rzecz przygotowania zawodowego uczestnicząca we wspólnych seminariach internetowych europejskiego sojuszu na rzecz przygotowania zawodowego i KR-u. Jednym z głównych celów sieci będzie zwiększenie świadomości na temat potencjału miast w</w:t>
      </w:r>
      <w:r w:rsidR="00574CC5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zakresie wspierania przygotowania zawodowego. Ostatecznie dzięki sieci miasta będą mogły uczyć się od siebie nawzajem, współpracować, opracowywać narzędzia, dzielić się dobrymi praktykami oraz udzielać pomocy technicznej i polity</w:t>
      </w:r>
      <w:r w:rsidR="00574CC5">
        <w:rPr>
          <w:rFonts w:ascii="Times New Roman" w:hAnsi="Times New Roman" w:cs="Times New Roman"/>
        </w:rPr>
        <w:t>cznej, a także ją otrzymywać.</w:t>
      </w:r>
    </w:p>
    <w:p w:rsidR="00C34231" w:rsidRPr="00B9021C" w:rsidRDefault="00C34231">
      <w:pPr>
        <w:rPr>
          <w:rFonts w:ascii="Times New Roman" w:eastAsiaTheme="majorEastAsia" w:hAnsi="Times New Roman" w:cs="Times New Roman"/>
          <w:lang w:val="en-GB"/>
        </w:rPr>
      </w:pPr>
    </w:p>
    <w:p w:rsidR="003D64D4" w:rsidRPr="00B9021C" w:rsidRDefault="00025C0A" w:rsidP="00C674D0">
      <w:pPr>
        <w:pStyle w:val="Heading2"/>
        <w:keepNext/>
        <w:keepLines/>
        <w:ind w:left="567" w:hanging="567"/>
        <w:jc w:val="both"/>
        <w:rPr>
          <w:rFonts w:ascii="Times New Roman" w:eastAsiaTheme="majorEastAsia" w:hAnsi="Times New Roman" w:cs="Times New Roman"/>
          <w:b/>
          <w:color w:val="365F91" w:themeColor="accent1" w:themeShade="BF"/>
          <w:sz w:val="24"/>
          <w:szCs w:val="32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2.4. </w:t>
      </w:r>
      <w:r w:rsidRPr="00B9021C">
        <w:rPr>
          <w:rFonts w:ascii="Times New Roman" w:hAnsi="Times New Roman" w:cs="Times New Roman"/>
          <w:b/>
          <w:sz w:val="24"/>
          <w:szCs w:val="24"/>
        </w:rPr>
        <w:tab/>
      </w:r>
      <w:r w:rsidRPr="00B9021C">
        <w:rPr>
          <w:rFonts w:ascii="Times New Roman" w:hAnsi="Times New Roman" w:cs="Times New Roman"/>
          <w:b/>
          <w:sz w:val="24"/>
          <w:szCs w:val="32"/>
        </w:rPr>
        <w:t>Koncepcja popieranych przez UE Europejskich Lokalnych Targów Pracy na rzecz wparcia dla lokalnego zatrudnienia</w:t>
      </w:r>
    </w:p>
    <w:p w:rsidR="00CE5349" w:rsidRPr="00B9021C" w:rsidRDefault="00CE5349">
      <w:pPr>
        <w:keepNext/>
        <w:rPr>
          <w:rFonts w:ascii="Times New Roman" w:hAnsi="Times New Roman" w:cs="Times New Roman"/>
          <w:lang w:val="en-GB"/>
        </w:rPr>
      </w:pPr>
    </w:p>
    <w:p w:rsidR="00CC2877" w:rsidRPr="00B9021C" w:rsidRDefault="00394636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 xml:space="preserve">Aby zwiększyć dopasowanie miejsc pracy i umiejętności, postanowiono zbadać możliwości współorganizacji Europejskich Lokalnych Targów Pracy w całej Europie. Saloniki mogą zgłosić się na ochotnika do zorganizowania Targów w najbliższym możliwym terminie. Targi mogłyby stać się wzorem dla podobnych wydarzeń w innych regionach UE. KR i DG EMPL będą współpracować nad tą koncepcją i jej realizacją, w tym nad strukturą, partnerami, finansowaniem itp., które uzgodnione zostaną oddzielnie. </w:t>
      </w:r>
    </w:p>
    <w:p w:rsidR="00FE1A83" w:rsidRPr="00B9021C" w:rsidRDefault="00FE1A83" w:rsidP="007D6282">
      <w:pPr>
        <w:rPr>
          <w:rFonts w:ascii="Times New Roman" w:hAnsi="Times New Roman" w:cs="Times New Roman"/>
          <w:lang w:val="en-GB"/>
        </w:rPr>
      </w:pPr>
    </w:p>
    <w:p w:rsidR="00DC5206" w:rsidRPr="00B9021C" w:rsidRDefault="00455FAA" w:rsidP="007D6282">
      <w:pPr>
        <w:pStyle w:val="Heading3"/>
        <w:rPr>
          <w:rFonts w:ascii="Times New Roman" w:hAnsi="Times New Roman" w:cs="Times New Roman"/>
          <w:color w:val="365F91" w:themeColor="accent1" w:themeShade="BF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t>2.4.1.</w:t>
      </w:r>
      <w:r w:rsidRPr="00B9021C">
        <w:rPr>
          <w:rFonts w:ascii="Times New Roman" w:hAnsi="Times New Roman" w:cs="Times New Roman"/>
          <w:b/>
          <w:sz w:val="24"/>
          <w:szCs w:val="24"/>
        </w:rPr>
        <w:tab/>
        <w:t>Istniejące rozwiązania</w:t>
      </w:r>
    </w:p>
    <w:p w:rsidR="00CC2877" w:rsidRPr="00B9021C" w:rsidRDefault="00CC2877">
      <w:pPr>
        <w:keepNext/>
        <w:rPr>
          <w:rFonts w:ascii="Times New Roman" w:hAnsi="Times New Roman" w:cs="Times New Roman"/>
          <w:lang w:val="en-GB"/>
        </w:rPr>
      </w:pPr>
    </w:p>
    <w:p w:rsidR="00CC2877" w:rsidRPr="00B9021C" w:rsidRDefault="00DF7306" w:rsidP="005C4F23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Europejskie Służby Zatrudnienia (EURES) organizują już Europejskie Dni Pracy promujące mobilność pracowników w całej UE, służące dopasowaniu umiejętności kandydatów do potrzeb pracodawców w innych państwach członkowskich (powielanie takich wydarzeń dotyczących mobilności nie przyniosłoby wartości dodanej).</w:t>
      </w:r>
    </w:p>
    <w:p w:rsidR="00CC2877" w:rsidRPr="00B9021C" w:rsidRDefault="00CC2877" w:rsidP="007D6282">
      <w:pPr>
        <w:pStyle w:val="ListParagraph"/>
        <w:spacing w:after="0" w:line="288" w:lineRule="auto"/>
        <w:ind w:left="360"/>
        <w:jc w:val="both"/>
        <w:rPr>
          <w:rFonts w:ascii="Times New Roman" w:hAnsi="Times New Roman" w:cs="Times New Roman"/>
        </w:rPr>
      </w:pPr>
    </w:p>
    <w:p w:rsidR="00CC2877" w:rsidRPr="00B9021C" w:rsidRDefault="00501E02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Kilka projektów unijnych ma na celu zwalczanie bezrobocia; oprócz tego istnieją także krajowe programy służące osiągnięciu tego samego celu.</w:t>
      </w:r>
    </w:p>
    <w:p w:rsidR="00CC2877" w:rsidRPr="00B9021C" w:rsidRDefault="00CC2877" w:rsidP="007D6282">
      <w:pPr>
        <w:pStyle w:val="ListParagraph"/>
        <w:spacing w:after="0" w:line="288" w:lineRule="auto"/>
        <w:ind w:left="360"/>
        <w:jc w:val="both"/>
        <w:rPr>
          <w:rFonts w:ascii="Times New Roman" w:hAnsi="Times New Roman" w:cs="Times New Roman"/>
        </w:rPr>
      </w:pPr>
    </w:p>
    <w:p w:rsidR="00CC2877" w:rsidRPr="00B9021C" w:rsidRDefault="002867F1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EFS jest, a EFS+ będzie głównym instrumentem finansowania lokalnych strategii zatrudnienia i</w:t>
      </w:r>
      <w:r w:rsidR="00CC3B7B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promowania szkoleń oraz podnoszenia kwalifikacji i przekwalifikowania.</w:t>
      </w:r>
    </w:p>
    <w:p w:rsidR="00CC2877" w:rsidRPr="00B9021C" w:rsidRDefault="00CC2877" w:rsidP="007D6282">
      <w:pPr>
        <w:pStyle w:val="ListParagraph"/>
        <w:spacing w:after="0" w:line="288" w:lineRule="auto"/>
        <w:ind w:left="360"/>
        <w:jc w:val="both"/>
        <w:rPr>
          <w:rFonts w:ascii="Times New Roman" w:hAnsi="Times New Roman" w:cs="Times New Roman"/>
        </w:rPr>
      </w:pPr>
    </w:p>
    <w:p w:rsidR="00CC2877" w:rsidRPr="00B9021C" w:rsidRDefault="00DF7306" w:rsidP="005C4F23">
      <w:pPr>
        <w:numPr>
          <w:ilvl w:val="0"/>
          <w:numId w:val="3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C">
        <w:rPr>
          <w:rFonts w:ascii="Times New Roman" w:hAnsi="Times New Roman" w:cs="Times New Roman"/>
        </w:rPr>
        <w:t>Program Unii Europejskiej na rzecz zatrudnienia i innowacji społecznych EaSI (2014–2020) tworzą trzy osie (oś PROGRESS – modernizacja zatrudnienia i usług społecznych, oś EURES – mobilność pracowników, oś mikrofinansów i przedsiębiorczości społecznej – mikropożyczki i</w:t>
      </w:r>
      <w:r w:rsidR="00CC3B7B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mikrokredyty dla słabszych grup społecznych i przedsiębiorstw oraz wspieranie przedsiębiorczości społecznej). InvestEU zapewni podobne możliwości od 2021 roku.</w:t>
      </w:r>
    </w:p>
    <w:p w:rsidR="00FE1A83" w:rsidRPr="00B9021C" w:rsidRDefault="00FE1A83" w:rsidP="007D6282">
      <w:pPr>
        <w:rPr>
          <w:rFonts w:ascii="Times New Roman" w:hAnsi="Times New Roman" w:cs="Times New Roman"/>
          <w:lang w:val="en-GB"/>
        </w:rPr>
      </w:pPr>
    </w:p>
    <w:p w:rsidR="00CC2877" w:rsidRPr="00B9021C" w:rsidRDefault="00455FAA" w:rsidP="007D6282">
      <w:pPr>
        <w:pStyle w:val="Heading3"/>
        <w:rPr>
          <w:rFonts w:ascii="Times New Roman" w:eastAsiaTheme="majorEastAsia" w:hAnsi="Times New Roman" w:cs="Times New Roman"/>
          <w:b/>
          <w:color w:val="365F91" w:themeColor="accent1" w:themeShade="BF"/>
          <w:sz w:val="24"/>
          <w:szCs w:val="32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t>2.4.2.</w:t>
      </w:r>
      <w:r w:rsidRPr="00B9021C">
        <w:rPr>
          <w:rFonts w:ascii="Times New Roman" w:hAnsi="Times New Roman" w:cs="Times New Roman"/>
          <w:b/>
          <w:sz w:val="24"/>
          <w:szCs w:val="24"/>
        </w:rPr>
        <w:tab/>
      </w:r>
      <w:r w:rsidRPr="00B9021C">
        <w:rPr>
          <w:rFonts w:ascii="Times New Roman" w:hAnsi="Times New Roman" w:cs="Times New Roman"/>
          <w:b/>
          <w:sz w:val="24"/>
          <w:szCs w:val="32"/>
        </w:rPr>
        <w:t>Wartość dodana Europejskich Lokalnych Targów Pracy</w:t>
      </w:r>
    </w:p>
    <w:p w:rsidR="00CC2877" w:rsidRPr="00B9021C" w:rsidRDefault="00CC2877" w:rsidP="007D6282">
      <w:pPr>
        <w:keepNext/>
        <w:rPr>
          <w:rFonts w:ascii="Times New Roman" w:hAnsi="Times New Roman" w:cs="Times New Roman"/>
          <w:lang w:val="en-GB"/>
        </w:rPr>
      </w:pPr>
    </w:p>
    <w:p w:rsidR="00CC2877" w:rsidRPr="00B9021C" w:rsidRDefault="00CC2877" w:rsidP="007D6282">
      <w:pPr>
        <w:pStyle w:val="ListParagraph"/>
        <w:spacing w:after="0" w:line="288" w:lineRule="auto"/>
        <w:ind w:left="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Biorąc pod uwagę już istniejące inicjatywy unijne i nie tylko, szczególną wartość dodaną Europejskich Lokalnych Targów Pracy stanowiłoby:</w:t>
      </w:r>
    </w:p>
    <w:p w:rsidR="00100433" w:rsidRPr="00B9021C" w:rsidRDefault="00100433" w:rsidP="007D6282">
      <w:pPr>
        <w:pStyle w:val="ListParagraph"/>
        <w:spacing w:after="0" w:line="288" w:lineRule="auto"/>
        <w:ind w:left="0"/>
        <w:jc w:val="both"/>
        <w:rPr>
          <w:rFonts w:ascii="Times New Roman" w:hAnsi="Times New Roman" w:cs="Times New Roman"/>
        </w:rPr>
      </w:pPr>
    </w:p>
    <w:p w:rsidR="00100433" w:rsidRPr="00B9021C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zaprezentowanie istniejących usług unijnych osobom poszukującym pracy na szczeblu lokalnym, krajowym i europejskim,</w:t>
      </w:r>
    </w:p>
    <w:p w:rsidR="0002399B" w:rsidRPr="00B9021C" w:rsidRDefault="0002399B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przedstawienie nowych tendencji w zakresie umiejętności i zatrudnienia na szczeblu lokalnym i</w:t>
      </w:r>
      <w:r w:rsidR="00CC3B7B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europejskim,</w:t>
      </w:r>
    </w:p>
    <w:p w:rsidR="00100433" w:rsidRPr="00B9021C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przedstawienie unijnych programów wsparcia dla lokalnych i regionalnych strategii zatrudnienia w świetle bieżących działań programowych przyszłych programów EFS,</w:t>
      </w:r>
    </w:p>
    <w:p w:rsidR="00100433" w:rsidRPr="00B9021C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 xml:space="preserve">pokazanie powiązań między różnymi politykami i programami unijnymi z punktu widzenia młodych ludzi, </w:t>
      </w:r>
    </w:p>
    <w:p w:rsidR="00C97045" w:rsidRPr="00B9021C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lastRenderedPageBreak/>
        <w:t>stworzenie podstaw do dialogu z obywatelami na temat społecznego wymiaru UE i jego znaczenia dla zatrudnienia lokalnego i regionalnego oraz</w:t>
      </w:r>
    </w:p>
    <w:p w:rsidR="00100433" w:rsidRPr="00B9021C" w:rsidRDefault="00C97045" w:rsidP="007D6282">
      <w:pPr>
        <w:pStyle w:val="ListParagraph"/>
        <w:numPr>
          <w:ilvl w:val="0"/>
          <w:numId w:val="35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wspieranie tworzenia miejsc pracy i dopasowywania umiejętności na szczeblu lokalnym przy wsparciu ze środków unijnych na takie lokalne wydarzenia.</w:t>
      </w:r>
    </w:p>
    <w:p w:rsidR="00FE1A83" w:rsidRPr="00B9021C" w:rsidRDefault="00FE1A83">
      <w:pPr>
        <w:rPr>
          <w:rFonts w:ascii="Times New Roman" w:hAnsi="Times New Roman" w:cs="Times New Roman"/>
          <w:lang w:val="en-GB"/>
        </w:rPr>
      </w:pPr>
    </w:p>
    <w:p w:rsidR="00F165DD" w:rsidRPr="00B9021C" w:rsidRDefault="001A2D75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Obecnie ważne jest, aby zorganizować takie Targi w ramach wysiłków na rzecz odbudowy po pandemii COVID-19. W związku z tym konieczne jest rozpoczęcie dialogu politycznego z czołowymi przedstawicielami partnerów społecznych, goszczącymi członków KR i przedstawicieli unijnych, na temat koncepcji i strategii mających na celu sprostanie obecnym wyzwaniom w dziedzinie zatrudnienia.</w:t>
      </w:r>
    </w:p>
    <w:p w:rsidR="00FE1A83" w:rsidRPr="00B9021C" w:rsidRDefault="00FE1A83">
      <w:pPr>
        <w:rPr>
          <w:rFonts w:ascii="Times New Roman" w:hAnsi="Times New Roman" w:cs="Times New Roman"/>
          <w:lang w:val="en-GB"/>
        </w:rPr>
      </w:pPr>
    </w:p>
    <w:p w:rsidR="00100433" w:rsidRPr="00B9021C" w:rsidRDefault="00455FAA" w:rsidP="007D6282">
      <w:pPr>
        <w:pStyle w:val="Heading3"/>
        <w:ind w:left="709" w:hanging="709"/>
        <w:rPr>
          <w:rFonts w:ascii="Times New Roman" w:eastAsiaTheme="majorEastAsia" w:hAnsi="Times New Roman" w:cs="Times New Roman"/>
          <w:b/>
          <w:color w:val="365F91" w:themeColor="accent1" w:themeShade="BF"/>
          <w:sz w:val="24"/>
          <w:szCs w:val="32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t>2.4.3.</w:t>
      </w:r>
      <w:r w:rsidRPr="00B9021C">
        <w:rPr>
          <w:rFonts w:ascii="Times New Roman" w:hAnsi="Times New Roman" w:cs="Times New Roman"/>
          <w:b/>
          <w:sz w:val="24"/>
          <w:szCs w:val="24"/>
        </w:rPr>
        <w:tab/>
      </w:r>
      <w:r w:rsidRPr="00B9021C">
        <w:rPr>
          <w:rFonts w:ascii="Times New Roman" w:hAnsi="Times New Roman" w:cs="Times New Roman"/>
          <w:b/>
          <w:sz w:val="24"/>
          <w:szCs w:val="32"/>
        </w:rPr>
        <w:t>Grupa docelowa Europejskich Lokalnych Targów Pracy</w:t>
      </w:r>
    </w:p>
    <w:p w:rsidR="0002399B" w:rsidRPr="00B9021C" w:rsidRDefault="0002399B">
      <w:pPr>
        <w:keepNext/>
        <w:rPr>
          <w:rFonts w:ascii="Times New Roman" w:hAnsi="Times New Roman" w:cs="Times New Roman"/>
          <w:lang w:val="en-GB"/>
        </w:rPr>
      </w:pPr>
    </w:p>
    <w:p w:rsidR="0002399B" w:rsidRPr="00B9021C" w:rsidRDefault="0002399B" w:rsidP="007D6282">
      <w:pPr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Grupa docelowa Europejskich Lokalnych Targów Pracy mogłaby obejmować:</w:t>
      </w:r>
    </w:p>
    <w:p w:rsidR="0002399B" w:rsidRPr="00B9021C" w:rsidRDefault="0002399B">
      <w:pPr>
        <w:rPr>
          <w:rFonts w:ascii="Times New Roman" w:hAnsi="Times New Roman" w:cs="Times New Roman"/>
          <w:lang w:val="en-GB"/>
        </w:rPr>
      </w:pPr>
    </w:p>
    <w:p w:rsidR="0002399B" w:rsidRPr="00B9021C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osoby poszukujące pracy, w szczególności studentów i niedawnych absolwentów,</w:t>
      </w:r>
    </w:p>
    <w:p w:rsidR="0002399B" w:rsidRPr="00B9021C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lokalne/regionalne publiczne służby zatrudnienia,</w:t>
      </w:r>
    </w:p>
    <w:p w:rsidR="0002399B" w:rsidRPr="00B9021C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agencje szkolenia, przekwalifikowania i zatrudnienia,</w:t>
      </w:r>
    </w:p>
    <w:p w:rsidR="0002399B" w:rsidRPr="00B9021C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partnerów społecznych, placówki edukacyjne,</w:t>
      </w:r>
    </w:p>
    <w:p w:rsidR="0002399B" w:rsidRPr="00B9021C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władze lokalne/regionalne i polityków oraz</w:t>
      </w:r>
    </w:p>
    <w:p w:rsidR="0002399B" w:rsidRPr="00B9021C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media lokalne/regionalne.</w:t>
      </w:r>
    </w:p>
    <w:p w:rsidR="00FE1A83" w:rsidRPr="00B9021C" w:rsidRDefault="00FE1A83" w:rsidP="007D6282">
      <w:pPr>
        <w:rPr>
          <w:rFonts w:ascii="Times New Roman" w:hAnsi="Times New Roman" w:cs="Times New Roman"/>
          <w:lang w:val="en-GB"/>
        </w:rPr>
      </w:pPr>
    </w:p>
    <w:p w:rsidR="0002399B" w:rsidRPr="00B9021C" w:rsidRDefault="00455FAA" w:rsidP="007D6282">
      <w:pPr>
        <w:pStyle w:val="Heading3"/>
        <w:tabs>
          <w:tab w:val="left" w:pos="567"/>
        </w:tabs>
        <w:rPr>
          <w:rFonts w:ascii="Times New Roman" w:hAnsi="Times New Roman" w:cs="Times New Roman"/>
          <w:color w:val="365F91" w:themeColor="accent1" w:themeShade="BF"/>
        </w:rPr>
      </w:pPr>
      <w:r w:rsidRPr="00B9021C">
        <w:rPr>
          <w:rFonts w:ascii="Times New Roman" w:hAnsi="Times New Roman" w:cs="Times New Roman"/>
          <w:b/>
          <w:sz w:val="24"/>
          <w:szCs w:val="24"/>
        </w:rPr>
        <w:t>2.4.4.</w:t>
      </w:r>
      <w:r w:rsidRPr="00B9021C">
        <w:rPr>
          <w:rFonts w:ascii="Times New Roman" w:hAnsi="Times New Roman" w:cs="Times New Roman"/>
          <w:b/>
          <w:sz w:val="24"/>
          <w:szCs w:val="24"/>
        </w:rPr>
        <w:tab/>
        <w:t>Ewentualni partnerzy i realizacja</w:t>
      </w:r>
    </w:p>
    <w:p w:rsidR="0002399B" w:rsidRPr="00B9021C" w:rsidRDefault="0002399B" w:rsidP="007D6282">
      <w:pPr>
        <w:keepNext/>
        <w:rPr>
          <w:rFonts w:ascii="Times New Roman" w:hAnsi="Times New Roman" w:cs="Times New Roman"/>
          <w:lang w:val="en-GB"/>
        </w:rPr>
      </w:pPr>
    </w:p>
    <w:p w:rsidR="0002399B" w:rsidRPr="00B9021C" w:rsidRDefault="00E0617C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Europejskie Lokalne Targi Pracy odniosą największy sukces, gdy właściwi partnerzy będą zaangażowani od samego początku, aby zapewnić znaczący wkład. Możliwe jest zaangażowanie następujących partnerów:</w:t>
      </w:r>
    </w:p>
    <w:p w:rsidR="0002399B" w:rsidRPr="00B9021C" w:rsidRDefault="0002399B">
      <w:pPr>
        <w:rPr>
          <w:rFonts w:ascii="Times New Roman" w:hAnsi="Times New Roman" w:cs="Times New Roman"/>
          <w:lang w:val="en-GB"/>
        </w:rPr>
      </w:pPr>
    </w:p>
    <w:p w:rsidR="0002399B" w:rsidRPr="00B9021C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  <w:u w:val="single"/>
        </w:rPr>
        <w:t>Na szczeblu lokalnym</w:t>
      </w:r>
      <w:r w:rsidRPr="00B9021C">
        <w:rPr>
          <w:rFonts w:ascii="Times New Roman" w:hAnsi="Times New Roman" w:cs="Times New Roman"/>
        </w:rPr>
        <w:t>: władze publiczne, izby handlowe i stowarzyszenia przedsiębiorców, związki zawodowe, społeczeństwo obywatelskie, szkoły, uczelnie wyższe itp.</w:t>
      </w:r>
    </w:p>
    <w:p w:rsidR="0002399B" w:rsidRPr="00B9021C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  <w:u w:val="single"/>
        </w:rPr>
        <w:t>Na szczeblu regionalnym</w:t>
      </w:r>
      <w:r w:rsidRPr="00B9021C">
        <w:rPr>
          <w:rFonts w:ascii="Times New Roman" w:hAnsi="Times New Roman" w:cs="Times New Roman"/>
        </w:rPr>
        <w:t>: instytucja zarządzająca EFS, służby zatrudnienia, ministerstwa regionalne, regionalne stowarzyszenia przedsiębiorców, uczelnie wyższe itp.</w:t>
      </w:r>
    </w:p>
    <w:p w:rsidR="0002399B" w:rsidRPr="00B9021C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  <w:u w:val="single"/>
        </w:rPr>
        <w:t>Na szczeblu krajowym:</w:t>
      </w:r>
      <w:r w:rsidRPr="00B9021C">
        <w:rPr>
          <w:rFonts w:ascii="Times New Roman" w:hAnsi="Times New Roman" w:cs="Times New Roman"/>
        </w:rPr>
        <w:t xml:space="preserve"> ministerstwa krajowe, stowarzyszenia sektora społecznego, stowarzyszenia przedsiębiorców, organizacje zajmujące się szkoleniem, stowarzyszenia uczelni wyższych itp.</w:t>
      </w:r>
    </w:p>
    <w:p w:rsidR="00256F0C" w:rsidRPr="00B9021C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  <w:u w:val="single"/>
        </w:rPr>
        <w:t>Na szczeblu unijnym</w:t>
      </w:r>
      <w:r w:rsidRPr="00B9021C">
        <w:rPr>
          <w:rFonts w:ascii="Times New Roman" w:hAnsi="Times New Roman" w:cs="Times New Roman"/>
        </w:rPr>
        <w:t>: Komisja Europejska (pod przewodnictwem DG EMPL; inne dyrekcje generalne i służby, które mogłyby zostać zaproszone: DG EAC; DG REGIO, DG REFORM, JRC), agencje unijne (Europejski Urząd ds. Pracy, Cedefop, Eurofound); członkowie KR; posłowie do PE; partnerzy społeczni.</w:t>
      </w:r>
    </w:p>
    <w:p w:rsidR="00FE1A83" w:rsidRPr="00B9021C" w:rsidRDefault="00FE1A83">
      <w:pPr>
        <w:rPr>
          <w:rFonts w:ascii="Times New Roman" w:hAnsi="Times New Roman" w:cs="Times New Roman"/>
          <w:lang w:val="en-GB"/>
        </w:rPr>
      </w:pPr>
    </w:p>
    <w:p w:rsidR="00834904" w:rsidRPr="00B9021C" w:rsidRDefault="00834904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lastRenderedPageBreak/>
        <w:t xml:space="preserve">Ponieważ trwająca obecnie pandemia COVID-19 uniemożliwia na razie organizację Targów na miejscu, można by rozważyć zorganizowanie takich wydarzeń, jak </w:t>
      </w:r>
      <w:hyperlink r:id="rId14" w:history="1">
        <w:r w:rsidRPr="00B9021C">
          <w:rPr>
            <w:rFonts w:ascii="Times New Roman" w:hAnsi="Times New Roman" w:cs="Times New Roman"/>
          </w:rPr>
          <w:t>Europejskie Dni Pracy online</w:t>
        </w:r>
      </w:hyperlink>
      <w:r w:rsidRPr="00B9021C">
        <w:rPr>
          <w:rFonts w:ascii="Times New Roman" w:hAnsi="Times New Roman" w:cs="Times New Roman"/>
        </w:rPr>
        <w:t xml:space="preserve"> w</w:t>
      </w:r>
      <w:r w:rsidR="00CC3B7B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porozumieniu z odpowiednim krajowym biurem koordynacji EURES oraz przy jego udziale.</w:t>
      </w:r>
    </w:p>
    <w:p w:rsidR="003E0FE7" w:rsidRPr="00B9021C" w:rsidRDefault="003E0FE7">
      <w:pPr>
        <w:rPr>
          <w:rFonts w:ascii="Times New Roman" w:hAnsi="Times New Roman" w:cs="Times New Roman"/>
          <w:lang w:val="en-GB"/>
        </w:rPr>
      </w:pPr>
    </w:p>
    <w:p w:rsidR="00E6624D" w:rsidRPr="00B9021C" w:rsidRDefault="00E6624D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Role i obowiązki organizatorów i partnerów zostaną określone w odrębnych porozumieniach.</w:t>
      </w:r>
    </w:p>
    <w:p w:rsidR="00F165DD" w:rsidRPr="00B9021C" w:rsidRDefault="00F165DD">
      <w:pPr>
        <w:rPr>
          <w:rFonts w:ascii="Times New Roman" w:hAnsi="Times New Roman" w:cs="Times New Roman"/>
          <w:sz w:val="24"/>
          <w:lang w:val="en-GB"/>
        </w:rPr>
      </w:pPr>
    </w:p>
    <w:p w:rsidR="001A2D75" w:rsidRPr="00B9021C" w:rsidRDefault="001A2D75" w:rsidP="007D6282">
      <w:pPr>
        <w:pStyle w:val="ListParagraph"/>
        <w:keepNext/>
        <w:numPr>
          <w:ilvl w:val="2"/>
          <w:numId w:val="22"/>
        </w:numPr>
        <w:spacing w:after="0" w:line="288" w:lineRule="auto"/>
        <w:rPr>
          <w:rFonts w:ascii="Times New Roman" w:hAnsi="Times New Roman" w:cs="Times New Roman"/>
          <w:b/>
          <w:sz w:val="24"/>
        </w:rPr>
      </w:pPr>
      <w:r w:rsidRPr="00B9021C">
        <w:rPr>
          <w:rFonts w:ascii="Times New Roman" w:hAnsi="Times New Roman" w:cs="Times New Roman"/>
          <w:b/>
          <w:sz w:val="24"/>
        </w:rPr>
        <w:t>Finansowanie i inne rodzaje wsparcia</w:t>
      </w:r>
    </w:p>
    <w:p w:rsidR="001A2D75" w:rsidRPr="00B9021C" w:rsidRDefault="001A2D75" w:rsidP="007D6282">
      <w:pPr>
        <w:keepNext/>
        <w:rPr>
          <w:rFonts w:ascii="Times New Roman" w:hAnsi="Times New Roman" w:cs="Times New Roman"/>
          <w:lang w:val="en-GB"/>
        </w:rPr>
      </w:pPr>
    </w:p>
    <w:p w:rsidR="006C7232" w:rsidRPr="00B9021C" w:rsidRDefault="001A2D75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Organizowane przez członków KR-u Europejskie Lokalne Targi Pracy można by wesprzeć z funduszy unijnych. Komitet Regionów (KR) i DG EMPL wspólnie zbadają odpowiednie możliwości wsparcia finansowego tych wydarzeń.</w:t>
      </w:r>
    </w:p>
    <w:p w:rsidR="001A2D75" w:rsidRPr="00B9021C" w:rsidRDefault="001A2D75">
      <w:pPr>
        <w:rPr>
          <w:rFonts w:ascii="Times New Roman" w:hAnsi="Times New Roman" w:cs="Times New Roman"/>
          <w:lang w:val="en-GB"/>
        </w:rPr>
      </w:pPr>
    </w:p>
    <w:p w:rsidR="001A2D75" w:rsidRPr="00B9021C" w:rsidRDefault="008D4711">
      <w:pPr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Wsparcie może również polegać na:</w:t>
      </w:r>
    </w:p>
    <w:p w:rsidR="001A2D75" w:rsidRPr="00B9021C" w:rsidRDefault="001A2D75">
      <w:pPr>
        <w:rPr>
          <w:rFonts w:ascii="Times New Roman" w:hAnsi="Times New Roman" w:cs="Times New Roman"/>
          <w:lang w:val="en-GB"/>
        </w:rPr>
      </w:pPr>
    </w:p>
    <w:p w:rsidR="001A2D75" w:rsidRPr="00B9021C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zobowiązaniu partnerów unijnych do aktywnego udziału w Targach (wysyłanie ekspertów i</w:t>
      </w:r>
      <w:r w:rsidR="00CC3B7B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delegatów),</w:t>
      </w:r>
    </w:p>
    <w:p w:rsidR="001A2D75" w:rsidRPr="00B9021C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zobowiązaniu partnerów unijnych do przygotowania odpowiednich materiałów informacyjnych na potrzeby wydarzenia,</w:t>
      </w:r>
    </w:p>
    <w:p w:rsidR="001A2D75" w:rsidRPr="00B9021C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jeżeli to możliwe, zaangażowaniu w kwestię Targów przedstawiciela wysokiego szczebla – komisarza lub kadry kierowniczej wyższego szczebla DG EMPL.</w:t>
      </w:r>
    </w:p>
    <w:p w:rsidR="007A1EBE" w:rsidRPr="00B9021C" w:rsidRDefault="007A1EBE" w:rsidP="007D6282">
      <w:pPr>
        <w:rPr>
          <w:rFonts w:ascii="Times New Roman" w:hAnsi="Times New Roman" w:cs="Times New Roman"/>
          <w:lang w:val="en-GB"/>
        </w:rPr>
      </w:pPr>
    </w:p>
    <w:p w:rsidR="00E01D16" w:rsidRPr="00B9021C" w:rsidRDefault="008C4469" w:rsidP="007D6282">
      <w:pPr>
        <w:pStyle w:val="Heading1"/>
        <w:spacing w:before="0"/>
        <w:ind w:left="567" w:hanging="567"/>
        <w:rPr>
          <w:rFonts w:ascii="Times New Roman" w:hAnsi="Times New Roman" w:cs="Times New Roman"/>
          <w:b/>
          <w:sz w:val="24"/>
        </w:rPr>
      </w:pPr>
      <w:r w:rsidRPr="00B9021C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 </w:t>
      </w:r>
      <w:r w:rsidRPr="00B9021C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B9021C">
        <w:rPr>
          <w:rFonts w:ascii="Times New Roman" w:hAnsi="Times New Roman" w:cs="Times New Roman"/>
          <w:b/>
          <w:color w:val="auto"/>
          <w:sz w:val="24"/>
        </w:rPr>
        <w:t>Inne obszary polityki i możliwości współpracy</w:t>
      </w:r>
    </w:p>
    <w:p w:rsidR="00E01D16" w:rsidRPr="00B9021C" w:rsidRDefault="00E01D16">
      <w:pPr>
        <w:rPr>
          <w:rFonts w:ascii="Times New Roman" w:eastAsiaTheme="majorEastAsia" w:hAnsi="Times New Roman" w:cs="Times New Roman"/>
          <w:lang w:val="en-GB"/>
        </w:rPr>
      </w:pPr>
    </w:p>
    <w:p w:rsidR="00E01D16" w:rsidRPr="00B9021C" w:rsidRDefault="00E01D16" w:rsidP="007D6282">
      <w:pPr>
        <w:spacing w:after="0"/>
        <w:rPr>
          <w:rFonts w:ascii="Times New Roman" w:hAnsi="Times New Roman" w:cs="Times New Roman"/>
          <w:bCs/>
        </w:rPr>
      </w:pPr>
      <w:r w:rsidRPr="00B9021C">
        <w:rPr>
          <w:rFonts w:ascii="Times New Roman" w:hAnsi="Times New Roman" w:cs="Times New Roman"/>
        </w:rPr>
        <w:t xml:space="preserve">Obecnie w programie DG EMPL znajduje się kilka innych inicjatyw, takich jak: </w:t>
      </w:r>
    </w:p>
    <w:p w:rsidR="007A1EBE" w:rsidRPr="00B9021C" w:rsidRDefault="007A1EBE" w:rsidP="007D6282">
      <w:pPr>
        <w:spacing w:after="0"/>
        <w:rPr>
          <w:rFonts w:ascii="Times New Roman" w:hAnsi="Times New Roman" w:cs="Times New Roman"/>
          <w:bCs/>
          <w:lang w:val="en-GB"/>
        </w:rPr>
      </w:pPr>
    </w:p>
    <w:p w:rsidR="00457987" w:rsidRPr="00B9021C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Plan działania na rzecz gospodarki społecznej, przewidywany na 2021 r. – w ramach współpracy można zbadać działania w dziedzinie włączenia społecznego, tworzenia miejsc pracy, sektora opieki (opieka nad małymi dziećmi i osobami starszymi), innych usług społecznych, a także innowacji społecznych w gospodarce społecznej na szczeblu regionalnym i międzyregionalnym.</w:t>
      </w:r>
    </w:p>
    <w:p w:rsidR="00E01D16" w:rsidRPr="00B9021C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Odpowiednie płace minimalne w Unii Europejskiej, w sprawie których Komisja zaproponowała dyrektywę w dniu 28 października 2020 r.</w:t>
      </w:r>
    </w:p>
    <w:p w:rsidR="00E01D16" w:rsidRPr="00B9021C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Warunki pracy pracowników sezonowych, w sprawie których Komisja wydała wytyczne w</w:t>
      </w:r>
      <w:r w:rsidR="00CC3B7B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2020 roku.</w:t>
      </w:r>
    </w:p>
    <w:p w:rsidR="00E01D16" w:rsidRPr="00B9021C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Aspekty zmian demograficznych leżące w gestii DG EMPL.</w:t>
      </w:r>
    </w:p>
    <w:p w:rsidR="007A1EBE" w:rsidRPr="00B9021C" w:rsidRDefault="007A1EBE">
      <w:pPr>
        <w:rPr>
          <w:rFonts w:ascii="Times New Roman" w:hAnsi="Times New Roman" w:cs="Times New Roman"/>
          <w:lang w:val="en-GB"/>
        </w:rPr>
      </w:pPr>
    </w:p>
    <w:p w:rsidR="00E01D16" w:rsidRPr="00B9021C" w:rsidRDefault="00E01D16" w:rsidP="005C4F23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KR będzie dążył do zintensyfikowania konsultacji z władzami lokalnymi i regionalnymi, aby wnieść wkład w te kluczowe obszary prac. Ponadto KR i DG EMPL postawią sobie za cel zwiększenie wymiany informacji na te tematy.</w:t>
      </w:r>
    </w:p>
    <w:p w:rsidR="00E01D16" w:rsidRPr="00B9021C" w:rsidRDefault="00E01D16">
      <w:pPr>
        <w:rPr>
          <w:rFonts w:ascii="Times New Roman" w:hAnsi="Times New Roman" w:cs="Times New Roman"/>
          <w:lang w:val="en-GB"/>
        </w:rPr>
      </w:pPr>
    </w:p>
    <w:p w:rsidR="003E36A3" w:rsidRPr="00B9021C" w:rsidRDefault="003E36A3" w:rsidP="00CC3B7B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lastRenderedPageBreak/>
        <w:t>Dla zapewnienia ściślejszej współpracy między KR-em a DG EMPL przewidziano następujące dodatkowe środki:</w:t>
      </w:r>
    </w:p>
    <w:p w:rsidR="005B2DC3" w:rsidRPr="00B9021C" w:rsidRDefault="005B2DC3">
      <w:pPr>
        <w:rPr>
          <w:rFonts w:ascii="Times New Roman" w:hAnsi="Times New Roman" w:cs="Times New Roman"/>
          <w:lang w:val="en-GB"/>
        </w:rPr>
      </w:pPr>
    </w:p>
    <w:p w:rsidR="003E36A3" w:rsidRPr="00B9021C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regularny dialog polityczny – na sesji plenarnej KR-u i na posiedzeniach Komisji SEDEC,</w:t>
      </w:r>
    </w:p>
    <w:p w:rsidR="003E36A3" w:rsidRPr="00B9021C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rozważenie udziału członków i sprawozdawców KR-u w konferencjach i wydarzeniach organizowanych przez DG EMPL, w których perspektywa lokalna i regionalna wnosi wartość dodaną,</w:t>
      </w:r>
    </w:p>
    <w:p w:rsidR="003E36A3" w:rsidRPr="00B9021C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na życzenie członków KR-u informowanie ich o dostępnych unijnych środkach finansowych i</w:t>
      </w:r>
      <w:r w:rsidR="005F315D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wsparciu politycznym, aby pokazać, w jaki sposób UE może pomóc regionom i miastom w</w:t>
      </w:r>
      <w:r w:rsidR="005F315D">
        <w:rPr>
          <w:rFonts w:ascii="Times New Roman" w:hAnsi="Times New Roman" w:cs="Times New Roman"/>
        </w:rPr>
        <w:t> </w:t>
      </w:r>
      <w:r w:rsidRPr="00B9021C">
        <w:rPr>
          <w:rFonts w:ascii="Times New Roman" w:hAnsi="Times New Roman" w:cs="Times New Roman"/>
        </w:rPr>
        <w:t>transformacji egologicznej i cyfrowej,</w:t>
      </w:r>
    </w:p>
    <w:p w:rsidR="002E7C63" w:rsidRPr="00B9021C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analizowanie wspólnych środków komunikacji – w stosownych przypadkach,</w:t>
      </w:r>
    </w:p>
    <w:p w:rsidR="006D7CA9" w:rsidRPr="00B9021C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badanie synergii z inicjatywami innych dyrekcji generalnych, takimi jak partnerstwo w ramach platformy tematycznej S3 dotyczącej modernizacji przemysłu w zakresie gospodarki społecznej (</w:t>
      </w:r>
      <w:hyperlink r:id="rId15" w:history="1">
        <w:r w:rsidRPr="00B9021C">
          <w:rPr>
            <w:rStyle w:val="Hyperlink"/>
            <w:rFonts w:ascii="Times New Roman" w:hAnsi="Times New Roman" w:cs="Times New Roman"/>
          </w:rPr>
          <w:t>https://s3platform.jrc.ec.europa.eu/social-economy</w:t>
        </w:r>
      </w:hyperlink>
      <w:r w:rsidRPr="00B9021C">
        <w:rPr>
          <w:rFonts w:ascii="Times New Roman" w:hAnsi="Times New Roman" w:cs="Times New Roman"/>
        </w:rPr>
        <w:t>).</w:t>
      </w:r>
    </w:p>
    <w:p w:rsidR="006D7CA9" w:rsidRPr="00B9021C" w:rsidRDefault="006D7CA9">
      <w:pPr>
        <w:rPr>
          <w:rFonts w:ascii="Times New Roman" w:hAnsi="Times New Roman" w:cs="Times New Roman"/>
          <w:lang w:val="en-GB"/>
        </w:rPr>
      </w:pPr>
    </w:p>
    <w:p w:rsidR="006D7CA9" w:rsidRPr="00B9021C" w:rsidRDefault="0068468C" w:rsidP="007D6282">
      <w:pPr>
        <w:pStyle w:val="Heading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90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B90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Dalsze kroki:</w:t>
      </w:r>
    </w:p>
    <w:p w:rsidR="006D7CA9" w:rsidRPr="00B9021C" w:rsidRDefault="006D7CA9" w:rsidP="007D6282">
      <w:pPr>
        <w:keepNext/>
        <w:rPr>
          <w:rFonts w:ascii="Times New Roman" w:hAnsi="Times New Roman" w:cs="Times New Roman"/>
          <w:lang w:val="en-GB"/>
        </w:rPr>
      </w:pPr>
    </w:p>
    <w:p w:rsidR="000F448C" w:rsidRPr="00B9021C" w:rsidRDefault="00DC0DF4" w:rsidP="007D6282">
      <w:pPr>
        <w:jc w:val="both"/>
        <w:rPr>
          <w:rFonts w:ascii="Times New Roman" w:hAnsi="Times New Roman" w:cs="Times New Roman"/>
        </w:rPr>
      </w:pPr>
      <w:r w:rsidRPr="00B9021C">
        <w:rPr>
          <w:rFonts w:ascii="Times New Roman" w:hAnsi="Times New Roman" w:cs="Times New Roman"/>
        </w:rPr>
        <w:t>Zarówno DG EMPL, jak i KR wyznaczą osoby do kontaktu w celu określenia szczegółów koncepcji i</w:t>
      </w:r>
      <w:r w:rsidR="005F315D">
        <w:rPr>
          <w:rFonts w:ascii="Times New Roman" w:hAnsi="Times New Roman" w:cs="Times New Roman"/>
        </w:rPr>
        <w:t> </w:t>
      </w:r>
      <w:bookmarkStart w:id="0" w:name="_GoBack"/>
      <w:bookmarkEnd w:id="0"/>
      <w:r w:rsidRPr="00B9021C">
        <w:rPr>
          <w:rFonts w:ascii="Times New Roman" w:hAnsi="Times New Roman" w:cs="Times New Roman"/>
        </w:rPr>
        <w:t>sposobów organizacji Europejskich Lokalnych Targów Pracy oraz zapewnienia sprawnej współpracy i koordynacji działań na szczeblu administracyjnym.</w:t>
      </w:r>
    </w:p>
    <w:sectPr w:rsidR="000F448C" w:rsidRPr="00B9021C" w:rsidSect="005C4F23">
      <w:footerReference w:type="default" r:id="rId16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8C63B" w16cex:dateUtc="2020-08-20T07:51:00Z"/>
  <w16cex:commentExtensible w16cex:durableId="22E8C6C8" w16cex:dateUtc="2020-08-20T07:54:00Z"/>
  <w16cex:commentExtensible w16cex:durableId="22E8C78A" w16cex:dateUtc="2020-08-20T07:57:00Z"/>
  <w16cex:commentExtensible w16cex:durableId="22E8CDF2" w16cex:dateUtc="2020-08-20T08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440FE8" w16cid:durableId="22E8C63B"/>
  <w16cid:commentId w16cid:paraId="7CC3FC94" w16cid:durableId="22E8C6C8"/>
  <w16cid:commentId w16cid:paraId="1E5534BC" w16cid:durableId="22ED245B"/>
  <w16cid:commentId w16cid:paraId="1847A8FA" w16cid:durableId="22E8C78A"/>
  <w16cid:commentId w16cid:paraId="69CE8917" w16cid:durableId="22E771BD"/>
  <w16cid:commentId w16cid:paraId="29D3282F" w16cid:durableId="22E8CD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784" w:rsidRDefault="00683784" w:rsidP="007E71D2">
      <w:pPr>
        <w:spacing w:line="240" w:lineRule="auto"/>
      </w:pPr>
      <w:r>
        <w:separator/>
      </w:r>
    </w:p>
  </w:endnote>
  <w:endnote w:type="continuationSeparator" w:id="0">
    <w:p w:rsidR="00683784" w:rsidRDefault="00683784" w:rsidP="007E71D2">
      <w:pPr>
        <w:spacing w:line="240" w:lineRule="auto"/>
      </w:pPr>
      <w:r>
        <w:continuationSeparator/>
      </w:r>
    </w:p>
  </w:endnote>
  <w:endnote w:type="continuationNotice" w:id="1">
    <w:p w:rsidR="00683784" w:rsidRDefault="006837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F01" w:rsidRPr="005C4F23" w:rsidRDefault="005C4F23" w:rsidP="005C4F23">
    <w:pPr>
      <w:pStyle w:val="Footer"/>
    </w:pPr>
    <w:r>
      <w:t xml:space="preserve">COR-2020-04835-00-01-TCD-TRA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5F315D">
      <w:rPr>
        <w:noProof/>
      </w:rPr>
      <w:t>9</w:t>
    </w:r>
    <w:r>
      <w:fldChar w:fldCharType="end"/>
    </w:r>
    <w:r>
      <w:t>/</w:t>
    </w:r>
    <w:fldSimple w:instr=" NUMPAGES ">
      <w:r w:rsidR="005F315D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784" w:rsidRDefault="00683784" w:rsidP="007E71D2">
      <w:pPr>
        <w:spacing w:line="240" w:lineRule="auto"/>
      </w:pPr>
      <w:r>
        <w:separator/>
      </w:r>
    </w:p>
  </w:footnote>
  <w:footnote w:type="continuationSeparator" w:id="0">
    <w:p w:rsidR="00683784" w:rsidRDefault="00683784" w:rsidP="007E71D2">
      <w:pPr>
        <w:spacing w:line="240" w:lineRule="auto"/>
      </w:pPr>
      <w:r>
        <w:continuationSeparator/>
      </w:r>
    </w:p>
  </w:footnote>
  <w:footnote w:type="continuationNotice" w:id="1">
    <w:p w:rsidR="00683784" w:rsidRDefault="00683784">
      <w:pPr>
        <w:spacing w:line="240" w:lineRule="auto"/>
      </w:pPr>
    </w:p>
  </w:footnote>
  <w:footnote w:id="2">
    <w:p w:rsidR="00EB2F01" w:rsidRPr="0053003F" w:rsidRDefault="00EB2F01" w:rsidP="00B9021C">
      <w:pPr>
        <w:pStyle w:val="FootnoteText"/>
        <w:tabs>
          <w:tab w:val="left" w:pos="567"/>
        </w:tabs>
        <w:spacing w:after="60"/>
        <w:ind w:left="567" w:hanging="567"/>
        <w:rPr>
          <w:rFonts w:ascii="Times New Roman" w:hAnsi="Times New Roman" w:cs="Times New Roman"/>
          <w:sz w:val="16"/>
          <w:szCs w:val="16"/>
        </w:rPr>
      </w:pP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="00B9021C" w:rsidRPr="0053003F">
        <w:rPr>
          <w:rFonts w:ascii="Times New Roman" w:hAnsi="Times New Roman" w:cs="Times New Roman"/>
          <w:sz w:val="16"/>
          <w:szCs w:val="16"/>
        </w:rPr>
        <w:tab/>
      </w:r>
      <w:hyperlink r:id="rId1" w:history="1">
        <w:r w:rsidRPr="0053003F">
          <w:rPr>
            <w:rStyle w:val="Hyperlink"/>
            <w:rFonts w:ascii="Times New Roman" w:hAnsi="Times New Roman" w:cs="Times New Roman"/>
            <w:sz w:val="16"/>
            <w:szCs w:val="16"/>
          </w:rPr>
          <w:t>https://ec.europa.eu/commission/sites/beta-political/files/reflection-paper-social-dimension-europe_pl.pdf</w:t>
        </w:r>
      </w:hyperlink>
    </w:p>
  </w:footnote>
  <w:footnote w:id="3">
    <w:p w:rsidR="00EB2F01" w:rsidRPr="0053003F" w:rsidRDefault="00EB2F01" w:rsidP="0053003F">
      <w:pPr>
        <w:pStyle w:val="FootnoteText"/>
        <w:tabs>
          <w:tab w:val="left" w:pos="567"/>
        </w:tabs>
        <w:spacing w:after="60"/>
        <w:ind w:left="567" w:hanging="567"/>
        <w:rPr>
          <w:rFonts w:ascii="Times New Roman" w:hAnsi="Times New Roman" w:cs="Times New Roman"/>
          <w:sz w:val="16"/>
          <w:szCs w:val="16"/>
        </w:rPr>
      </w:pP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53003F">
        <w:rPr>
          <w:rFonts w:ascii="Times New Roman" w:hAnsi="Times New Roman" w:cs="Times New Roman"/>
          <w:sz w:val="24"/>
          <w:szCs w:val="24"/>
        </w:rPr>
        <w:t xml:space="preserve"> </w:t>
      </w:r>
      <w:r w:rsidR="0053003F" w:rsidRPr="0053003F">
        <w:rPr>
          <w:rFonts w:ascii="Times New Roman" w:hAnsi="Times New Roman" w:cs="Times New Roman"/>
          <w:sz w:val="16"/>
          <w:szCs w:val="16"/>
        </w:rPr>
        <w:tab/>
      </w:r>
      <w:hyperlink r:id="rId2" w:history="1">
        <w:r w:rsidRPr="0053003F">
          <w:rPr>
            <w:rStyle w:val="Hyperlink"/>
            <w:rFonts w:ascii="Times New Roman" w:hAnsi="Times New Roman" w:cs="Times New Roman"/>
            <w:sz w:val="16"/>
            <w:szCs w:val="16"/>
          </w:rPr>
          <w:t>https://eur-lex.europa.eu/LexUriServ/LexUriServ.do?uri=OJ:C:2012:102:0006:0010:PL:PDF</w:t>
        </w:r>
      </w:hyperlink>
    </w:p>
  </w:footnote>
  <w:footnote w:id="4">
    <w:p w:rsidR="00EB2F01" w:rsidRPr="0053003F" w:rsidRDefault="00EB2F01" w:rsidP="0053003F">
      <w:pPr>
        <w:pStyle w:val="FootnoteText"/>
        <w:tabs>
          <w:tab w:val="left" w:pos="567"/>
        </w:tabs>
        <w:spacing w:after="60"/>
        <w:ind w:left="567" w:hanging="567"/>
        <w:rPr>
          <w:rFonts w:ascii="Times New Roman" w:hAnsi="Times New Roman" w:cs="Times New Roman"/>
          <w:sz w:val="16"/>
          <w:szCs w:val="16"/>
        </w:rPr>
      </w:pP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53003F">
        <w:rPr>
          <w:rFonts w:ascii="Times New Roman" w:hAnsi="Times New Roman" w:cs="Times New Roman"/>
          <w:sz w:val="24"/>
          <w:szCs w:val="24"/>
        </w:rPr>
        <w:t xml:space="preserve"> </w:t>
      </w:r>
      <w:r w:rsidRPr="0053003F">
        <w:rPr>
          <w:rFonts w:ascii="Times New Roman" w:hAnsi="Times New Roman" w:cs="Times New Roman"/>
          <w:sz w:val="16"/>
          <w:szCs w:val="16"/>
        </w:rPr>
        <w:tab/>
        <w:t>COM(2020) 447 final.</w:t>
      </w:r>
    </w:p>
  </w:footnote>
  <w:footnote w:id="5">
    <w:p w:rsidR="00EB2F01" w:rsidRPr="0053003F" w:rsidRDefault="00EB2F01" w:rsidP="00574CC5">
      <w:pPr>
        <w:pStyle w:val="FootnoteText"/>
        <w:tabs>
          <w:tab w:val="left" w:pos="567"/>
        </w:tabs>
        <w:spacing w:after="60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t xml:space="preserve"> </w:t>
      </w:r>
      <w:r w:rsidRPr="0053003F">
        <w:rPr>
          <w:rFonts w:ascii="Times New Roman" w:hAnsi="Times New Roman" w:cs="Times New Roman"/>
          <w:sz w:val="16"/>
          <w:szCs w:val="16"/>
        </w:rPr>
        <w:tab/>
        <w:t>W komunikacie „Wspieranie zatrudnienia ludzi młodych: pomost do zatrudnienia dla kolejnego pokolenia” (COM(2020) 276 final) Komisja wezwała państwa członkowskie do zwiększenia wsparcia na rzecz zatrudnienia młodzieży i podniesienia poziomu środków przeznaczonego na ten cel w porównaniu z okresem finansowania 2014–2020, który szacowany jest na 22 mld EUR.</w:t>
      </w:r>
    </w:p>
  </w:footnote>
  <w:footnote w:id="6">
    <w:p w:rsidR="00EB2F01" w:rsidRPr="0053003F" w:rsidRDefault="00EB2F01" w:rsidP="00574CC5">
      <w:pPr>
        <w:pStyle w:val="FootnoteText"/>
        <w:tabs>
          <w:tab w:val="left" w:pos="567"/>
        </w:tabs>
        <w:spacing w:after="60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53003F">
        <w:rPr>
          <w:rFonts w:ascii="Times New Roman" w:hAnsi="Times New Roman" w:cs="Times New Roman"/>
          <w:sz w:val="24"/>
          <w:szCs w:val="24"/>
        </w:rPr>
        <w:t xml:space="preserve"> </w:t>
      </w:r>
      <w:r w:rsidR="0053003F" w:rsidRPr="0053003F">
        <w:rPr>
          <w:rFonts w:ascii="Times New Roman" w:hAnsi="Times New Roman" w:cs="Times New Roman"/>
          <w:sz w:val="16"/>
          <w:szCs w:val="16"/>
        </w:rPr>
        <w:tab/>
      </w:r>
      <w:r w:rsidRPr="0053003F">
        <w:rPr>
          <w:rFonts w:ascii="Times New Roman" w:hAnsi="Times New Roman" w:cs="Times New Roman"/>
          <w:sz w:val="16"/>
          <w:szCs w:val="16"/>
        </w:rPr>
        <w:t>Zalecenie Rady dotyczące „Pomostu do zatrudnienia – wzmocnienia gwarancji dla młodzieży” zostało uzgodnione w Radzie pod względem politycznym i zostanie przyjęte przed końcem 2020 r.</w:t>
      </w:r>
    </w:p>
  </w:footnote>
  <w:footnote w:id="7">
    <w:p w:rsidR="00EB2F01" w:rsidRPr="0053003F" w:rsidRDefault="00EB2F01" w:rsidP="0053003F">
      <w:pPr>
        <w:pStyle w:val="FootnoteText"/>
        <w:tabs>
          <w:tab w:val="left" w:pos="567"/>
        </w:tabs>
        <w:spacing w:after="60"/>
        <w:ind w:left="567" w:hanging="567"/>
        <w:rPr>
          <w:rFonts w:ascii="Times New Roman" w:hAnsi="Times New Roman" w:cs="Times New Roman"/>
          <w:sz w:val="16"/>
          <w:szCs w:val="16"/>
        </w:rPr>
      </w:pP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53003F">
        <w:rPr>
          <w:rFonts w:ascii="Times New Roman" w:hAnsi="Times New Roman" w:cs="Times New Roman"/>
          <w:sz w:val="24"/>
          <w:szCs w:val="24"/>
        </w:rPr>
        <w:t xml:space="preserve"> </w:t>
      </w:r>
      <w:r w:rsidRPr="0053003F">
        <w:rPr>
          <w:rFonts w:ascii="Times New Roman" w:hAnsi="Times New Roman" w:cs="Times New Roman"/>
          <w:sz w:val="16"/>
          <w:szCs w:val="16"/>
        </w:rPr>
        <w:tab/>
        <w:t xml:space="preserve">COM(2020) 276 final. </w:t>
      </w:r>
    </w:p>
  </w:footnote>
  <w:footnote w:id="8">
    <w:p w:rsidR="002867F1" w:rsidRPr="007D6282" w:rsidRDefault="002867F1" w:rsidP="0053003F">
      <w:pPr>
        <w:pStyle w:val="FootnoteText"/>
        <w:spacing w:after="60"/>
        <w:ind w:left="567" w:hanging="567"/>
        <w:rPr>
          <w:sz w:val="16"/>
          <w:szCs w:val="16"/>
        </w:rPr>
      </w:pPr>
      <w:r w:rsidRPr="0053003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53003F">
        <w:rPr>
          <w:rFonts w:ascii="Times New Roman" w:hAnsi="Times New Roman" w:cs="Times New Roman"/>
          <w:sz w:val="24"/>
          <w:szCs w:val="24"/>
        </w:rPr>
        <w:t xml:space="preserve"> </w:t>
      </w:r>
      <w:r w:rsidRPr="0053003F">
        <w:rPr>
          <w:rFonts w:ascii="Times New Roman" w:hAnsi="Times New Roman" w:cs="Times New Roman"/>
          <w:sz w:val="16"/>
          <w:szCs w:val="16"/>
        </w:rPr>
        <w:tab/>
        <w:t>COM(2020) 274 final.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1C97EA"/>
    <w:lvl w:ilvl="0">
      <w:start w:val="1"/>
      <w:numFmt w:val="decimal"/>
      <w:lvlText w:val="%1."/>
      <w:legacy w:legacy="1" w:legacySpace="0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egacy w:legacy="1" w:legacySpace="144" w:legacyIndent="0"/>
      <w:lvlJc w:val="left"/>
      <w:rPr>
        <w:b w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b w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575010D"/>
    <w:multiLevelType w:val="hybridMultilevel"/>
    <w:tmpl w:val="E924C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26D84"/>
    <w:multiLevelType w:val="hybridMultilevel"/>
    <w:tmpl w:val="3C9A2C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10D59"/>
    <w:multiLevelType w:val="hybridMultilevel"/>
    <w:tmpl w:val="A8204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60DF6"/>
    <w:multiLevelType w:val="hybridMultilevel"/>
    <w:tmpl w:val="DEACE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37C1B"/>
    <w:multiLevelType w:val="hybridMultilevel"/>
    <w:tmpl w:val="DE22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4794F"/>
    <w:multiLevelType w:val="hybridMultilevel"/>
    <w:tmpl w:val="2F448F7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6AF6D72"/>
    <w:multiLevelType w:val="hybridMultilevel"/>
    <w:tmpl w:val="0156B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2E3ADF"/>
    <w:multiLevelType w:val="hybridMultilevel"/>
    <w:tmpl w:val="988469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A2E0E"/>
    <w:multiLevelType w:val="hybridMultilevel"/>
    <w:tmpl w:val="077EC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FB3D22"/>
    <w:multiLevelType w:val="hybridMultilevel"/>
    <w:tmpl w:val="C8C49C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A0A3A"/>
    <w:multiLevelType w:val="hybridMultilevel"/>
    <w:tmpl w:val="19C28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706E"/>
    <w:multiLevelType w:val="hybridMultilevel"/>
    <w:tmpl w:val="2D3CA368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DF3DB0"/>
    <w:multiLevelType w:val="hybridMultilevel"/>
    <w:tmpl w:val="B4328B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727B0"/>
    <w:multiLevelType w:val="hybridMultilevel"/>
    <w:tmpl w:val="67E07D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4864EC"/>
    <w:multiLevelType w:val="hybridMultilevel"/>
    <w:tmpl w:val="150CDCA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0D35B15"/>
    <w:multiLevelType w:val="hybridMultilevel"/>
    <w:tmpl w:val="FC447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9C1308"/>
    <w:multiLevelType w:val="hybridMultilevel"/>
    <w:tmpl w:val="D716FD64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819A8"/>
    <w:multiLevelType w:val="hybridMultilevel"/>
    <w:tmpl w:val="D310C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A2403"/>
    <w:multiLevelType w:val="hybridMultilevel"/>
    <w:tmpl w:val="8A4296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9E1247"/>
    <w:multiLevelType w:val="hybridMultilevel"/>
    <w:tmpl w:val="1F4C3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14E37"/>
    <w:multiLevelType w:val="hybridMultilevel"/>
    <w:tmpl w:val="2C5C0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36E80"/>
    <w:multiLevelType w:val="hybridMultilevel"/>
    <w:tmpl w:val="0E66A7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3CE6A304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351A38"/>
    <w:multiLevelType w:val="hybridMultilevel"/>
    <w:tmpl w:val="3162C3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5E14A5"/>
    <w:multiLevelType w:val="hybridMultilevel"/>
    <w:tmpl w:val="5CC67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77317D"/>
    <w:multiLevelType w:val="hybridMultilevel"/>
    <w:tmpl w:val="6A885AB2"/>
    <w:lvl w:ilvl="0" w:tplc="3F1A2BB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161A9"/>
    <w:multiLevelType w:val="hybridMultilevel"/>
    <w:tmpl w:val="9EE40B06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E36C4"/>
    <w:multiLevelType w:val="hybridMultilevel"/>
    <w:tmpl w:val="8B62B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14D7F"/>
    <w:multiLevelType w:val="hybridMultilevel"/>
    <w:tmpl w:val="7F2E71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7E2FCA"/>
    <w:multiLevelType w:val="hybridMultilevel"/>
    <w:tmpl w:val="3446B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70112"/>
    <w:multiLevelType w:val="hybridMultilevel"/>
    <w:tmpl w:val="93C8C5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ED3DA0"/>
    <w:multiLevelType w:val="hybridMultilevel"/>
    <w:tmpl w:val="CC3257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207D62"/>
    <w:multiLevelType w:val="hybridMultilevel"/>
    <w:tmpl w:val="BF525C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825AC9"/>
    <w:multiLevelType w:val="hybridMultilevel"/>
    <w:tmpl w:val="2744D9E4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A460E"/>
    <w:multiLevelType w:val="multilevel"/>
    <w:tmpl w:val="C150B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891A7C"/>
    <w:multiLevelType w:val="hybridMultilevel"/>
    <w:tmpl w:val="67280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15C8B"/>
    <w:multiLevelType w:val="hybridMultilevel"/>
    <w:tmpl w:val="3540373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84E72"/>
    <w:multiLevelType w:val="hybridMultilevel"/>
    <w:tmpl w:val="6D82B1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A266CD"/>
    <w:multiLevelType w:val="hybridMultilevel"/>
    <w:tmpl w:val="8B2A6B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424AAB"/>
    <w:multiLevelType w:val="hybridMultilevel"/>
    <w:tmpl w:val="768A0C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FD3F4A"/>
    <w:multiLevelType w:val="hybridMultilevel"/>
    <w:tmpl w:val="5144F4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D351C0"/>
    <w:multiLevelType w:val="hybridMultilevel"/>
    <w:tmpl w:val="F27AE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8"/>
  </w:num>
  <w:num w:numId="4">
    <w:abstractNumId w:val="13"/>
  </w:num>
  <w:num w:numId="5">
    <w:abstractNumId w:val="31"/>
  </w:num>
  <w:num w:numId="6">
    <w:abstractNumId w:val="9"/>
  </w:num>
  <w:num w:numId="7">
    <w:abstractNumId w:val="8"/>
  </w:num>
  <w:num w:numId="8">
    <w:abstractNumId w:val="40"/>
  </w:num>
  <w:num w:numId="9">
    <w:abstractNumId w:val="15"/>
  </w:num>
  <w:num w:numId="10">
    <w:abstractNumId w:val="3"/>
  </w:num>
  <w:num w:numId="11">
    <w:abstractNumId w:val="30"/>
  </w:num>
  <w:num w:numId="12">
    <w:abstractNumId w:val="14"/>
  </w:num>
  <w:num w:numId="13">
    <w:abstractNumId w:val="36"/>
  </w:num>
  <w:num w:numId="14">
    <w:abstractNumId w:val="27"/>
  </w:num>
  <w:num w:numId="15">
    <w:abstractNumId w:val="2"/>
  </w:num>
  <w:num w:numId="16">
    <w:abstractNumId w:val="22"/>
  </w:num>
  <w:num w:numId="17">
    <w:abstractNumId w:val="12"/>
  </w:num>
  <w:num w:numId="18">
    <w:abstractNumId w:val="25"/>
  </w:num>
  <w:num w:numId="19">
    <w:abstractNumId w:val="20"/>
  </w:num>
  <w:num w:numId="20">
    <w:abstractNumId w:val="23"/>
  </w:num>
  <w:num w:numId="21">
    <w:abstractNumId w:val="21"/>
  </w:num>
  <w:num w:numId="22">
    <w:abstractNumId w:val="34"/>
  </w:num>
  <w:num w:numId="23">
    <w:abstractNumId w:val="5"/>
  </w:num>
  <w:num w:numId="24">
    <w:abstractNumId w:val="16"/>
  </w:num>
  <w:num w:numId="25">
    <w:abstractNumId w:val="17"/>
  </w:num>
  <w:num w:numId="26">
    <w:abstractNumId w:val="35"/>
  </w:num>
  <w:num w:numId="27">
    <w:abstractNumId w:val="11"/>
  </w:num>
  <w:num w:numId="28">
    <w:abstractNumId w:val="26"/>
  </w:num>
  <w:num w:numId="29">
    <w:abstractNumId w:val="33"/>
  </w:num>
  <w:num w:numId="30">
    <w:abstractNumId w:val="32"/>
  </w:num>
  <w:num w:numId="31">
    <w:abstractNumId w:val="7"/>
  </w:num>
  <w:num w:numId="32">
    <w:abstractNumId w:val="38"/>
  </w:num>
  <w:num w:numId="33">
    <w:abstractNumId w:val="29"/>
  </w:num>
  <w:num w:numId="34">
    <w:abstractNumId w:val="24"/>
  </w:num>
  <w:num w:numId="35">
    <w:abstractNumId w:val="28"/>
  </w:num>
  <w:num w:numId="36">
    <w:abstractNumId w:val="41"/>
  </w:num>
  <w:num w:numId="37">
    <w:abstractNumId w:val="6"/>
  </w:num>
  <w:num w:numId="38">
    <w:abstractNumId w:val="37"/>
  </w:num>
  <w:num w:numId="39">
    <w:abstractNumId w:val="39"/>
  </w:num>
  <w:num w:numId="40">
    <w:abstractNumId w:val="19"/>
  </w:num>
  <w:num w:numId="41">
    <w:abstractNumId w:val="10"/>
  </w:num>
  <w:num w:numId="42">
    <w:abstractNumId w:val="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2285A"/>
    <w:rsid w:val="000115F3"/>
    <w:rsid w:val="00014693"/>
    <w:rsid w:val="00014E6A"/>
    <w:rsid w:val="0001607A"/>
    <w:rsid w:val="0002399B"/>
    <w:rsid w:val="00025C0A"/>
    <w:rsid w:val="00032B76"/>
    <w:rsid w:val="00034B02"/>
    <w:rsid w:val="00041D24"/>
    <w:rsid w:val="00046905"/>
    <w:rsid w:val="0005130E"/>
    <w:rsid w:val="00052C63"/>
    <w:rsid w:val="00052CB0"/>
    <w:rsid w:val="00053254"/>
    <w:rsid w:val="00053923"/>
    <w:rsid w:val="0005456E"/>
    <w:rsid w:val="00067F05"/>
    <w:rsid w:val="00081341"/>
    <w:rsid w:val="00092FB6"/>
    <w:rsid w:val="000938C4"/>
    <w:rsid w:val="000A0D57"/>
    <w:rsid w:val="000A676E"/>
    <w:rsid w:val="000A7400"/>
    <w:rsid w:val="000B6015"/>
    <w:rsid w:val="000B6528"/>
    <w:rsid w:val="000D7781"/>
    <w:rsid w:val="000F034A"/>
    <w:rsid w:val="000F3666"/>
    <w:rsid w:val="000F448C"/>
    <w:rsid w:val="00100433"/>
    <w:rsid w:val="00122601"/>
    <w:rsid w:val="001303C7"/>
    <w:rsid w:val="00131BAD"/>
    <w:rsid w:val="00133C10"/>
    <w:rsid w:val="00135709"/>
    <w:rsid w:val="00141B6A"/>
    <w:rsid w:val="001508E5"/>
    <w:rsid w:val="00150CCB"/>
    <w:rsid w:val="00151730"/>
    <w:rsid w:val="00161FA6"/>
    <w:rsid w:val="00162E43"/>
    <w:rsid w:val="00164507"/>
    <w:rsid w:val="00164C40"/>
    <w:rsid w:val="00165C5A"/>
    <w:rsid w:val="00170B9B"/>
    <w:rsid w:val="00176CAE"/>
    <w:rsid w:val="0018679E"/>
    <w:rsid w:val="00192316"/>
    <w:rsid w:val="00194608"/>
    <w:rsid w:val="001A2814"/>
    <w:rsid w:val="001A2928"/>
    <w:rsid w:val="001A2D75"/>
    <w:rsid w:val="001B3DE5"/>
    <w:rsid w:val="001B62E2"/>
    <w:rsid w:val="001C24E4"/>
    <w:rsid w:val="001C2739"/>
    <w:rsid w:val="001D1C58"/>
    <w:rsid w:val="001D49B1"/>
    <w:rsid w:val="001D6B54"/>
    <w:rsid w:val="001D7401"/>
    <w:rsid w:val="001E18B4"/>
    <w:rsid w:val="001F20A4"/>
    <w:rsid w:val="00202FA0"/>
    <w:rsid w:val="00206C91"/>
    <w:rsid w:val="00207F48"/>
    <w:rsid w:val="002143E7"/>
    <w:rsid w:val="00216B6A"/>
    <w:rsid w:val="00221331"/>
    <w:rsid w:val="002302EF"/>
    <w:rsid w:val="0023381A"/>
    <w:rsid w:val="00234ED5"/>
    <w:rsid w:val="0023752B"/>
    <w:rsid w:val="00237BCF"/>
    <w:rsid w:val="00256E2E"/>
    <w:rsid w:val="00256F0C"/>
    <w:rsid w:val="002574BD"/>
    <w:rsid w:val="00267B85"/>
    <w:rsid w:val="00275FB7"/>
    <w:rsid w:val="00276AF1"/>
    <w:rsid w:val="00283BCC"/>
    <w:rsid w:val="002849B5"/>
    <w:rsid w:val="002867F1"/>
    <w:rsid w:val="00297A95"/>
    <w:rsid w:val="002C2A13"/>
    <w:rsid w:val="002D435E"/>
    <w:rsid w:val="002D4474"/>
    <w:rsid w:val="002D687E"/>
    <w:rsid w:val="002D78A2"/>
    <w:rsid w:val="002E4558"/>
    <w:rsid w:val="002E7C63"/>
    <w:rsid w:val="00302240"/>
    <w:rsid w:val="003179F6"/>
    <w:rsid w:val="0032643C"/>
    <w:rsid w:val="00330D7D"/>
    <w:rsid w:val="00343863"/>
    <w:rsid w:val="00356DF4"/>
    <w:rsid w:val="00360D28"/>
    <w:rsid w:val="00363E4E"/>
    <w:rsid w:val="0038092C"/>
    <w:rsid w:val="00381051"/>
    <w:rsid w:val="003814FB"/>
    <w:rsid w:val="003825D2"/>
    <w:rsid w:val="003831AE"/>
    <w:rsid w:val="00394636"/>
    <w:rsid w:val="00397E5D"/>
    <w:rsid w:val="003A17FB"/>
    <w:rsid w:val="003B12A8"/>
    <w:rsid w:val="003C1C84"/>
    <w:rsid w:val="003C2756"/>
    <w:rsid w:val="003C6A76"/>
    <w:rsid w:val="003D208F"/>
    <w:rsid w:val="003D64D4"/>
    <w:rsid w:val="003E0FE7"/>
    <w:rsid w:val="003E36A3"/>
    <w:rsid w:val="003F310F"/>
    <w:rsid w:val="00416589"/>
    <w:rsid w:val="00416F28"/>
    <w:rsid w:val="00421A56"/>
    <w:rsid w:val="00422DE3"/>
    <w:rsid w:val="00455FAA"/>
    <w:rsid w:val="00457987"/>
    <w:rsid w:val="004672CD"/>
    <w:rsid w:val="00467B9B"/>
    <w:rsid w:val="00474C1C"/>
    <w:rsid w:val="004817E9"/>
    <w:rsid w:val="00483C2D"/>
    <w:rsid w:val="0049793A"/>
    <w:rsid w:val="004A63B0"/>
    <w:rsid w:val="004C08B7"/>
    <w:rsid w:val="004C40A8"/>
    <w:rsid w:val="004D5A56"/>
    <w:rsid w:val="004D6DCD"/>
    <w:rsid w:val="004D765D"/>
    <w:rsid w:val="004E1969"/>
    <w:rsid w:val="004E394E"/>
    <w:rsid w:val="004E6147"/>
    <w:rsid w:val="004E6536"/>
    <w:rsid w:val="004E71CD"/>
    <w:rsid w:val="004F3E8B"/>
    <w:rsid w:val="004F4966"/>
    <w:rsid w:val="004F6D31"/>
    <w:rsid w:val="00501E02"/>
    <w:rsid w:val="00504067"/>
    <w:rsid w:val="00512960"/>
    <w:rsid w:val="00516393"/>
    <w:rsid w:val="0051715E"/>
    <w:rsid w:val="00520210"/>
    <w:rsid w:val="0052074E"/>
    <w:rsid w:val="00523C75"/>
    <w:rsid w:val="00527019"/>
    <w:rsid w:val="0053003F"/>
    <w:rsid w:val="005366D6"/>
    <w:rsid w:val="00541BE3"/>
    <w:rsid w:val="005421E7"/>
    <w:rsid w:val="00542BFC"/>
    <w:rsid w:val="00544F9B"/>
    <w:rsid w:val="00545845"/>
    <w:rsid w:val="00546AEC"/>
    <w:rsid w:val="00551DF1"/>
    <w:rsid w:val="00557917"/>
    <w:rsid w:val="005708AD"/>
    <w:rsid w:val="00574134"/>
    <w:rsid w:val="00574CC5"/>
    <w:rsid w:val="005810D1"/>
    <w:rsid w:val="00583165"/>
    <w:rsid w:val="00591229"/>
    <w:rsid w:val="005977FF"/>
    <w:rsid w:val="00597990"/>
    <w:rsid w:val="005A4DE6"/>
    <w:rsid w:val="005B2DC3"/>
    <w:rsid w:val="005B3884"/>
    <w:rsid w:val="005C4F23"/>
    <w:rsid w:val="005C55D6"/>
    <w:rsid w:val="005D06A9"/>
    <w:rsid w:val="005D5EB3"/>
    <w:rsid w:val="005E422E"/>
    <w:rsid w:val="005F315D"/>
    <w:rsid w:val="00600069"/>
    <w:rsid w:val="00601828"/>
    <w:rsid w:val="006106B7"/>
    <w:rsid w:val="0062568E"/>
    <w:rsid w:val="00637313"/>
    <w:rsid w:val="006475F5"/>
    <w:rsid w:val="00651753"/>
    <w:rsid w:val="00662DAD"/>
    <w:rsid w:val="00680D0A"/>
    <w:rsid w:val="00683784"/>
    <w:rsid w:val="0068468C"/>
    <w:rsid w:val="00685424"/>
    <w:rsid w:val="00690EA1"/>
    <w:rsid w:val="006A0A27"/>
    <w:rsid w:val="006A3AC8"/>
    <w:rsid w:val="006A6308"/>
    <w:rsid w:val="006C313B"/>
    <w:rsid w:val="006C7232"/>
    <w:rsid w:val="006D03C7"/>
    <w:rsid w:val="006D7CA9"/>
    <w:rsid w:val="006E239E"/>
    <w:rsid w:val="006E25E8"/>
    <w:rsid w:val="006E2F96"/>
    <w:rsid w:val="006E637D"/>
    <w:rsid w:val="006F05D5"/>
    <w:rsid w:val="006F1412"/>
    <w:rsid w:val="00707604"/>
    <w:rsid w:val="00713D60"/>
    <w:rsid w:val="0072116E"/>
    <w:rsid w:val="00721DAE"/>
    <w:rsid w:val="0072285A"/>
    <w:rsid w:val="00727544"/>
    <w:rsid w:val="00733ED3"/>
    <w:rsid w:val="0073453E"/>
    <w:rsid w:val="00735CF1"/>
    <w:rsid w:val="0074046E"/>
    <w:rsid w:val="00760515"/>
    <w:rsid w:val="007753DD"/>
    <w:rsid w:val="00777281"/>
    <w:rsid w:val="00777E8D"/>
    <w:rsid w:val="007905B1"/>
    <w:rsid w:val="007923D6"/>
    <w:rsid w:val="00795798"/>
    <w:rsid w:val="007A1EBE"/>
    <w:rsid w:val="007A4C60"/>
    <w:rsid w:val="007A5B63"/>
    <w:rsid w:val="007C4B51"/>
    <w:rsid w:val="007D5468"/>
    <w:rsid w:val="007D6282"/>
    <w:rsid w:val="007D78B0"/>
    <w:rsid w:val="007E1479"/>
    <w:rsid w:val="007E71D2"/>
    <w:rsid w:val="007F06FE"/>
    <w:rsid w:val="007F2CBE"/>
    <w:rsid w:val="00802BB6"/>
    <w:rsid w:val="00812835"/>
    <w:rsid w:val="00813159"/>
    <w:rsid w:val="00813175"/>
    <w:rsid w:val="0081584B"/>
    <w:rsid w:val="00816F4D"/>
    <w:rsid w:val="00824102"/>
    <w:rsid w:val="0082432A"/>
    <w:rsid w:val="008334CE"/>
    <w:rsid w:val="00834904"/>
    <w:rsid w:val="00843D2C"/>
    <w:rsid w:val="00844255"/>
    <w:rsid w:val="00862342"/>
    <w:rsid w:val="00864E4E"/>
    <w:rsid w:val="008707AC"/>
    <w:rsid w:val="0087706E"/>
    <w:rsid w:val="008839C1"/>
    <w:rsid w:val="008911F1"/>
    <w:rsid w:val="00892F78"/>
    <w:rsid w:val="0089643A"/>
    <w:rsid w:val="008B149E"/>
    <w:rsid w:val="008C0E34"/>
    <w:rsid w:val="008C4469"/>
    <w:rsid w:val="008D2AB3"/>
    <w:rsid w:val="008D4711"/>
    <w:rsid w:val="008D5638"/>
    <w:rsid w:val="008E118B"/>
    <w:rsid w:val="008F79F2"/>
    <w:rsid w:val="00900A36"/>
    <w:rsid w:val="009049AD"/>
    <w:rsid w:val="00905E0B"/>
    <w:rsid w:val="00913EFC"/>
    <w:rsid w:val="0092426C"/>
    <w:rsid w:val="009243B3"/>
    <w:rsid w:val="00934DE3"/>
    <w:rsid w:val="009521C5"/>
    <w:rsid w:val="009556D1"/>
    <w:rsid w:val="00955CC3"/>
    <w:rsid w:val="00956A7E"/>
    <w:rsid w:val="0096073F"/>
    <w:rsid w:val="00963831"/>
    <w:rsid w:val="00963907"/>
    <w:rsid w:val="00963CAE"/>
    <w:rsid w:val="00964812"/>
    <w:rsid w:val="00966530"/>
    <w:rsid w:val="00975F99"/>
    <w:rsid w:val="00980663"/>
    <w:rsid w:val="009A26F3"/>
    <w:rsid w:val="009A3B0A"/>
    <w:rsid w:val="009A6986"/>
    <w:rsid w:val="009B4D06"/>
    <w:rsid w:val="009D4BA6"/>
    <w:rsid w:val="009D61A0"/>
    <w:rsid w:val="009E1D16"/>
    <w:rsid w:val="009F12EC"/>
    <w:rsid w:val="00A01F44"/>
    <w:rsid w:val="00A10939"/>
    <w:rsid w:val="00A1673A"/>
    <w:rsid w:val="00A22BE1"/>
    <w:rsid w:val="00A22F3A"/>
    <w:rsid w:val="00A23EB5"/>
    <w:rsid w:val="00A26CF2"/>
    <w:rsid w:val="00A27344"/>
    <w:rsid w:val="00A3011E"/>
    <w:rsid w:val="00A31CB4"/>
    <w:rsid w:val="00A3420D"/>
    <w:rsid w:val="00A374F6"/>
    <w:rsid w:val="00A44404"/>
    <w:rsid w:val="00A44C00"/>
    <w:rsid w:val="00A571FB"/>
    <w:rsid w:val="00A60CBD"/>
    <w:rsid w:val="00A627FF"/>
    <w:rsid w:val="00A6794C"/>
    <w:rsid w:val="00AA0A34"/>
    <w:rsid w:val="00AC32BD"/>
    <w:rsid w:val="00AE25ED"/>
    <w:rsid w:val="00AE28C2"/>
    <w:rsid w:val="00AF2098"/>
    <w:rsid w:val="00AF3183"/>
    <w:rsid w:val="00AF556E"/>
    <w:rsid w:val="00B00737"/>
    <w:rsid w:val="00B106AE"/>
    <w:rsid w:val="00B2663E"/>
    <w:rsid w:val="00B322C0"/>
    <w:rsid w:val="00B34D34"/>
    <w:rsid w:val="00B40809"/>
    <w:rsid w:val="00B439B5"/>
    <w:rsid w:val="00B64CF9"/>
    <w:rsid w:val="00B65A9B"/>
    <w:rsid w:val="00B7123C"/>
    <w:rsid w:val="00B82791"/>
    <w:rsid w:val="00B84141"/>
    <w:rsid w:val="00B84E8E"/>
    <w:rsid w:val="00B8537F"/>
    <w:rsid w:val="00B85A43"/>
    <w:rsid w:val="00B8636D"/>
    <w:rsid w:val="00B8680B"/>
    <w:rsid w:val="00B87B5D"/>
    <w:rsid w:val="00B9021C"/>
    <w:rsid w:val="00B9336C"/>
    <w:rsid w:val="00BA1F92"/>
    <w:rsid w:val="00BB1B45"/>
    <w:rsid w:val="00BB2C93"/>
    <w:rsid w:val="00BB429C"/>
    <w:rsid w:val="00BB7CA9"/>
    <w:rsid w:val="00BC2F4F"/>
    <w:rsid w:val="00BC4DFB"/>
    <w:rsid w:val="00BD1A92"/>
    <w:rsid w:val="00BD5B75"/>
    <w:rsid w:val="00BE04A0"/>
    <w:rsid w:val="00BE4728"/>
    <w:rsid w:val="00BE4BA0"/>
    <w:rsid w:val="00C01120"/>
    <w:rsid w:val="00C01839"/>
    <w:rsid w:val="00C041EB"/>
    <w:rsid w:val="00C06CC1"/>
    <w:rsid w:val="00C06DC9"/>
    <w:rsid w:val="00C075AB"/>
    <w:rsid w:val="00C20C91"/>
    <w:rsid w:val="00C318C3"/>
    <w:rsid w:val="00C34231"/>
    <w:rsid w:val="00C35ACB"/>
    <w:rsid w:val="00C51CDC"/>
    <w:rsid w:val="00C608E8"/>
    <w:rsid w:val="00C62953"/>
    <w:rsid w:val="00C641F3"/>
    <w:rsid w:val="00C66625"/>
    <w:rsid w:val="00C6742B"/>
    <w:rsid w:val="00C674D0"/>
    <w:rsid w:val="00C75BF9"/>
    <w:rsid w:val="00C805EF"/>
    <w:rsid w:val="00C82EBC"/>
    <w:rsid w:val="00C84735"/>
    <w:rsid w:val="00C945EC"/>
    <w:rsid w:val="00C97045"/>
    <w:rsid w:val="00CA1F75"/>
    <w:rsid w:val="00CA2769"/>
    <w:rsid w:val="00CA5888"/>
    <w:rsid w:val="00CB01B5"/>
    <w:rsid w:val="00CB40F6"/>
    <w:rsid w:val="00CB59AB"/>
    <w:rsid w:val="00CB78E1"/>
    <w:rsid w:val="00CC0748"/>
    <w:rsid w:val="00CC2877"/>
    <w:rsid w:val="00CC3B7B"/>
    <w:rsid w:val="00CE0C02"/>
    <w:rsid w:val="00CE3FF6"/>
    <w:rsid w:val="00CE5349"/>
    <w:rsid w:val="00CE6161"/>
    <w:rsid w:val="00CE647D"/>
    <w:rsid w:val="00CF62BC"/>
    <w:rsid w:val="00D05EFB"/>
    <w:rsid w:val="00D21912"/>
    <w:rsid w:val="00D23217"/>
    <w:rsid w:val="00D2347B"/>
    <w:rsid w:val="00D30FFF"/>
    <w:rsid w:val="00D42921"/>
    <w:rsid w:val="00D46EE1"/>
    <w:rsid w:val="00D60C7D"/>
    <w:rsid w:val="00D62509"/>
    <w:rsid w:val="00D73854"/>
    <w:rsid w:val="00D83929"/>
    <w:rsid w:val="00D92803"/>
    <w:rsid w:val="00D95224"/>
    <w:rsid w:val="00D96749"/>
    <w:rsid w:val="00D970BA"/>
    <w:rsid w:val="00DA6BFC"/>
    <w:rsid w:val="00DC0DF4"/>
    <w:rsid w:val="00DC10FC"/>
    <w:rsid w:val="00DC130C"/>
    <w:rsid w:val="00DC5206"/>
    <w:rsid w:val="00DD5024"/>
    <w:rsid w:val="00DD6575"/>
    <w:rsid w:val="00DE0EAA"/>
    <w:rsid w:val="00DF7306"/>
    <w:rsid w:val="00E01C1B"/>
    <w:rsid w:val="00E01D16"/>
    <w:rsid w:val="00E02AB5"/>
    <w:rsid w:val="00E040F8"/>
    <w:rsid w:val="00E0617C"/>
    <w:rsid w:val="00E12B0B"/>
    <w:rsid w:val="00E136C4"/>
    <w:rsid w:val="00E15129"/>
    <w:rsid w:val="00E1591B"/>
    <w:rsid w:val="00E35306"/>
    <w:rsid w:val="00E3553B"/>
    <w:rsid w:val="00E416E1"/>
    <w:rsid w:val="00E437FD"/>
    <w:rsid w:val="00E44082"/>
    <w:rsid w:val="00E46B57"/>
    <w:rsid w:val="00E555CA"/>
    <w:rsid w:val="00E56486"/>
    <w:rsid w:val="00E6624D"/>
    <w:rsid w:val="00E70070"/>
    <w:rsid w:val="00E83696"/>
    <w:rsid w:val="00E92E7E"/>
    <w:rsid w:val="00EA2779"/>
    <w:rsid w:val="00EA509C"/>
    <w:rsid w:val="00EB1C0F"/>
    <w:rsid w:val="00EB2F01"/>
    <w:rsid w:val="00EB524C"/>
    <w:rsid w:val="00EB757B"/>
    <w:rsid w:val="00EC1680"/>
    <w:rsid w:val="00EC5B66"/>
    <w:rsid w:val="00ED149D"/>
    <w:rsid w:val="00ED15E6"/>
    <w:rsid w:val="00ED3456"/>
    <w:rsid w:val="00ED7ACC"/>
    <w:rsid w:val="00EE17DD"/>
    <w:rsid w:val="00EE2DE9"/>
    <w:rsid w:val="00EF2742"/>
    <w:rsid w:val="00EF499D"/>
    <w:rsid w:val="00EF64DD"/>
    <w:rsid w:val="00EF764C"/>
    <w:rsid w:val="00F04DCA"/>
    <w:rsid w:val="00F1181A"/>
    <w:rsid w:val="00F11EF0"/>
    <w:rsid w:val="00F12A32"/>
    <w:rsid w:val="00F1429C"/>
    <w:rsid w:val="00F165DD"/>
    <w:rsid w:val="00F2366F"/>
    <w:rsid w:val="00F32EC7"/>
    <w:rsid w:val="00F34D21"/>
    <w:rsid w:val="00F37A45"/>
    <w:rsid w:val="00F416B5"/>
    <w:rsid w:val="00F5129F"/>
    <w:rsid w:val="00F52BD7"/>
    <w:rsid w:val="00F56CB3"/>
    <w:rsid w:val="00F603F6"/>
    <w:rsid w:val="00F771E0"/>
    <w:rsid w:val="00F84647"/>
    <w:rsid w:val="00FA14B4"/>
    <w:rsid w:val="00FA2335"/>
    <w:rsid w:val="00FA4BF5"/>
    <w:rsid w:val="00FB2486"/>
    <w:rsid w:val="00FB5AB4"/>
    <w:rsid w:val="00FD5044"/>
    <w:rsid w:val="00FE1A83"/>
    <w:rsid w:val="00FF02EB"/>
    <w:rsid w:val="00FF128D"/>
    <w:rsid w:val="00FF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546677F"/>
  <w15:docId w15:val="{08762808-7259-4888-8A2B-495016CBCEB6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64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6837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784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83784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683784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683784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683784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683784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683784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68378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5A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FootnoteText">
    <w:name w:val="footnote text"/>
    <w:basedOn w:val="Normal"/>
    <w:link w:val="FootnoteTextChar"/>
    <w:unhideWhenUsed/>
    <w:qFormat/>
    <w:rsid w:val="0068378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71D2"/>
    <w:rPr>
      <w:sz w:val="20"/>
      <w:szCs w:val="20"/>
      <w:lang w:val="pl-PL"/>
    </w:rPr>
  </w:style>
  <w:style w:type="character" w:styleId="FootnoteReference">
    <w:name w:val="footnote reference"/>
    <w:basedOn w:val="DefaultParagraphFont"/>
    <w:unhideWhenUsed/>
    <w:qFormat/>
    <w:rsid w:val="0068378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A4C6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4C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4C60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C6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Revision">
    <w:name w:val="Revision"/>
    <w:hidden/>
    <w:uiPriority w:val="99"/>
    <w:semiHidden/>
    <w:rsid w:val="007A4C60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C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C60"/>
    <w:rPr>
      <w:rFonts w:ascii="Tahoma" w:eastAsia="Times New Roman" w:hAnsi="Tahoma" w:cs="Tahoma"/>
      <w:sz w:val="16"/>
      <w:szCs w:val="16"/>
      <w:lang w:val="pl-PL"/>
    </w:rPr>
  </w:style>
  <w:style w:type="character" w:customStyle="1" w:styleId="normaltextrun">
    <w:name w:val="normaltextrun"/>
    <w:basedOn w:val="DefaultParagraphFont"/>
    <w:rsid w:val="00F12A32"/>
  </w:style>
  <w:style w:type="character" w:customStyle="1" w:styleId="eop">
    <w:name w:val="eop"/>
    <w:basedOn w:val="DefaultParagraphFont"/>
    <w:rsid w:val="00F12A32"/>
  </w:style>
  <w:style w:type="character" w:customStyle="1" w:styleId="spellingerror">
    <w:name w:val="spellingerror"/>
    <w:basedOn w:val="DefaultParagraphFont"/>
    <w:rsid w:val="00CC0748"/>
  </w:style>
  <w:style w:type="paragraph" w:styleId="Header">
    <w:name w:val="header"/>
    <w:basedOn w:val="Normal"/>
    <w:link w:val="HeaderChar"/>
    <w:unhideWhenUsed/>
    <w:qFormat/>
    <w:rsid w:val="00683784"/>
    <w:pPr>
      <w:spacing w:line="288" w:lineRule="auto"/>
      <w:jc w:val="both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B1C0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nhideWhenUsed/>
    <w:qFormat/>
    <w:rsid w:val="00683784"/>
    <w:pPr>
      <w:spacing w:line="288" w:lineRule="auto"/>
      <w:jc w:val="both"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rsid w:val="00EB1C0F"/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CE53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DC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DC3"/>
    <w:rPr>
      <w:rFonts w:eastAsiaTheme="minorEastAsia"/>
      <w:color w:val="5A5A5A" w:themeColor="text1" w:themeTint="A5"/>
      <w:spacing w:val="15"/>
      <w:lang w:val="pl-PL"/>
    </w:rPr>
  </w:style>
  <w:style w:type="character" w:styleId="Hyperlink">
    <w:name w:val="Hyperlink"/>
    <w:basedOn w:val="DefaultParagraphFont"/>
    <w:uiPriority w:val="99"/>
    <w:unhideWhenUsed/>
    <w:rsid w:val="00014E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31CB4"/>
    <w:rPr>
      <w:lang w:val="pl-PL"/>
    </w:rPr>
  </w:style>
  <w:style w:type="character" w:customStyle="1" w:styleId="Heading3Char">
    <w:name w:val="Heading 3 Char"/>
    <w:basedOn w:val="DefaultParagraphFont"/>
    <w:link w:val="Heading3"/>
    <w:rsid w:val="00A31CB4"/>
    <w:rPr>
      <w:lang w:val="pl-PL"/>
    </w:rPr>
  </w:style>
  <w:style w:type="character" w:customStyle="1" w:styleId="Heading4Char">
    <w:name w:val="Heading 4 Char"/>
    <w:basedOn w:val="DefaultParagraphFont"/>
    <w:link w:val="Heading4"/>
    <w:rsid w:val="00A31CB4"/>
    <w:rPr>
      <w:lang w:val="pl-PL"/>
    </w:rPr>
  </w:style>
  <w:style w:type="character" w:customStyle="1" w:styleId="Heading5Char">
    <w:name w:val="Heading 5 Char"/>
    <w:basedOn w:val="DefaultParagraphFont"/>
    <w:link w:val="Heading5"/>
    <w:rsid w:val="00A31CB4"/>
    <w:rPr>
      <w:lang w:val="pl-PL"/>
    </w:rPr>
  </w:style>
  <w:style w:type="character" w:customStyle="1" w:styleId="Heading6Char">
    <w:name w:val="Heading 6 Char"/>
    <w:basedOn w:val="DefaultParagraphFont"/>
    <w:link w:val="Heading6"/>
    <w:rsid w:val="00A31CB4"/>
    <w:rPr>
      <w:lang w:val="pl-PL"/>
    </w:rPr>
  </w:style>
  <w:style w:type="character" w:customStyle="1" w:styleId="Heading7Char">
    <w:name w:val="Heading 7 Char"/>
    <w:basedOn w:val="DefaultParagraphFont"/>
    <w:link w:val="Heading7"/>
    <w:rsid w:val="00A31CB4"/>
    <w:rPr>
      <w:lang w:val="pl-PL"/>
    </w:rPr>
  </w:style>
  <w:style w:type="character" w:customStyle="1" w:styleId="Heading8Char">
    <w:name w:val="Heading 8 Char"/>
    <w:basedOn w:val="DefaultParagraphFont"/>
    <w:link w:val="Heading8"/>
    <w:rsid w:val="00A31CB4"/>
    <w:rPr>
      <w:lang w:val="pl-PL"/>
    </w:rPr>
  </w:style>
  <w:style w:type="character" w:customStyle="1" w:styleId="Heading9Char">
    <w:name w:val="Heading 9 Char"/>
    <w:basedOn w:val="DefaultParagraphFont"/>
    <w:link w:val="Heading9"/>
    <w:rsid w:val="00A31CB4"/>
    <w:rPr>
      <w:lang w:val="pl-PL"/>
    </w:rPr>
  </w:style>
  <w:style w:type="paragraph" w:customStyle="1" w:styleId="quotes">
    <w:name w:val="quotes"/>
    <w:basedOn w:val="Normal"/>
    <w:next w:val="Normal"/>
    <w:rsid w:val="00A31CB4"/>
    <w:pPr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26" Type="http://schemas.openxmlformats.org/officeDocument/2006/relationships/customXml" Target="../customXml/item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5" Type="http://schemas.microsoft.com/office/2016/09/relationships/commentsIds" Target="commentsIds.xml"/><Relationship Id="rId16" Type="http://schemas.openxmlformats.org/officeDocument/2006/relationships/footer" Target="footer1.xml"/><Relationship Id="rId29" Type="http://schemas.openxmlformats.org/officeDocument/2006/relationships/customXml" Target="../customXml/item4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15" Type="http://schemas.openxmlformats.org/officeDocument/2006/relationships/hyperlink" Target="https://s3platform.jrc.ec.europa.eu/social-economy" TargetMode="External"/><Relationship Id="rId28" Type="http://schemas.openxmlformats.org/officeDocument/2006/relationships/customXml" Target="../customXml/item3.xml"/><Relationship Id="rId10" Type="http://schemas.openxmlformats.org/officeDocument/2006/relationships/footnotes" Target="footnotes.xml"/><Relationship Id="rId9" Type="http://schemas.openxmlformats.org/officeDocument/2006/relationships/webSettings" Target="webSettings.xml"/><Relationship Id="rId14" Type="http://schemas.openxmlformats.org/officeDocument/2006/relationships/hyperlink" Target="https://www.europeanjobdays.eu/pl" TargetMode="External"/><Relationship Id="rId27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xUriServ/LexUriServ.do?uri=OJ:C:2012:102:0006:0010:PL:PDF" TargetMode="External"/><Relationship Id="rId1" Type="http://schemas.openxmlformats.org/officeDocument/2006/relationships/hyperlink" Target="https://ec.europa.eu/commission/sites/beta-political/files/reflection-paper-social-dimension-europe_pl.pdf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3T5AXJEHYTWU-1246943346-5561</_dlc_DocId>
    <_dlc_DocIdUrl xmlns="0b452354-65a4-4dd6-8824-e6b830247e3e">
      <Url>http://dm2016/cor/2020/_layouts/15/DocIdRedir.aspx?ID=3T5AXJEHYTWU-1246943346-5561</Url>
      <Description>3T5AXJEHYTWU-1246943346-5561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2020-11-23T12:00:00+00:00</ProductionDate>
    <FicheYear xmlns="0b452354-65a4-4dd6-8824-e6b830247e3e">2020</FicheYear>
    <DocumentNumber xmlns="4bbe3f12-7728-4332-8165-6531ead52725">4835</DocumentNumber>
    <DocumentVersion xmlns="0b452354-65a4-4dd6-8824-e6b830247e3e">1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12567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5A13F115-E440-4560-9785-DB1D60D612EC}"/>
</file>

<file path=customXml/itemProps2.xml><?xml version="1.0" encoding="utf-8"?>
<ds:datastoreItem xmlns:ds="http://schemas.openxmlformats.org/officeDocument/2006/customXml" ds:itemID="{E44C1D3E-C801-4518-9ED2-EB01011128A8}"/>
</file>

<file path=customXml/itemProps3.xml><?xml version="1.0" encoding="utf-8"?>
<ds:datastoreItem xmlns:ds="http://schemas.openxmlformats.org/officeDocument/2006/customXml" ds:itemID="{1BBE7998-21F7-4CDA-8487-D8638202DE6F}"/>
</file>

<file path=customXml/itemProps4.xml><?xml version="1.0" encoding="utf-8"?>
<ds:datastoreItem xmlns:ds="http://schemas.openxmlformats.org/officeDocument/2006/customXml" ds:itemID="{8C1A917D-7A75-49CB-9C69-092B1DAEEAE9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84</TotalTime>
  <Pages>9</Pages>
  <Words>2841</Words>
  <Characters>16195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EESC-ECOR</Company>
  <LinksUpToDate>false</LinksUpToDate>
  <CharactersWithSpaces>18999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Obszary wzmocnionej współpracy między KR-em a DG EMPL - wspólny dokument</dc:title>
  <dc:creator>Thomas Wobben</dc:creator>
  <cp:keywords>COR-2020-04835-00-01-TCD-TRA-EN</cp:keywords>
  <dc:description>Rapporteur:  - Original language: EN - Date of document: 23/11/2020 - Date of meeting: 25/11/2020 - External documents:  - Administrator:  PETRAS Georgios</dc:description>
  <cp:lastModifiedBy>Kosim-Basimoglu Anna</cp:lastModifiedBy>
  <cp:revision>12</cp:revision>
  <cp:lastPrinted>2020-10-07T12:59:00Z</cp:lastPrinted>
  <dcterms:created xsi:type="dcterms:W3CDTF">2020-11-17T16:19:00Z</dcterms:created>
  <dcterms:modified xsi:type="dcterms:W3CDTF">2020-11-23T11:26:00Z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17/11/2020, 17/11/2020, 03/11/2020</vt:lpwstr>
  </property>
  <property fmtid="{D5CDD505-2E9C-101B-9397-08002B2CF9AE}" pid="4" name="Pref_Time">
    <vt:lpwstr>17:11:11, 17:01:01, 11:51:23</vt:lpwstr>
  </property>
  <property fmtid="{D5CDD505-2E9C-101B-9397-08002B2CF9AE}" pid="5" name="Pref_User">
    <vt:lpwstr>enied, ssex, amett</vt:lpwstr>
  </property>
  <property fmtid="{D5CDD505-2E9C-101B-9397-08002B2CF9AE}" pid="6" name="Pref_FileName">
    <vt:lpwstr>COR-2020-04835-00-01-TCD-TRA-EN-CRR.docx, COR-2020-04835-00-01-TCD-CRR-EN.docx, COR-2020-04835-00-00-TCD-TRA-EN-CRR.docx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85a92506-1371-43b5-9ae7-cbecdd86203f</vt:lpwstr>
  </property>
  <property fmtid="{D5CDD505-2E9C-101B-9397-08002B2CF9AE}" pid="9" name="AvailableTranslations">
    <vt:lpwstr>31;#LV|46f7e311-5d9f-4663-b433-18aeccb7ace7;#4;#FR|d2afafd3-4c81-4f60-8f52-ee33f2f54ff3;#16;#ES|e7a6b05b-ae16-40c8-add9-68b64b03aeba;#36;#FI|87606a43-d45f-42d6-b8c9-e1a3457db5b7;#34;#CS|72f9705b-0217-4fd3-bea2-cbc7ed80e26e;#19;#LT|a7ff5ce7-6123-4f68-865a-a57c31810414;#35;#PT|50ccc04a-eadd-42ae-a0cb-acaf45f812ba;#13;#HR|2f555653-ed1a-4fe6-8362-9082d95989e5;#12;#EL|6d4f4d51-af9b-4650-94b4-4276bee85c91;#38;#RO|feb747a2-64cd-4299-af12-4833ddc30497;#14;#MT|7df99101-6854-4a26-b53a-b88c0da02c26;#18;#NL|55c6556c-b4f4-441d-9acf-c498d4f838bd;#23;#DE|f6b31e5a-26fa-4935-b661-318e46daf27e;#30;#DA|5d49c027-8956-412b-aa16-e85a0f96ad0e;#27;#HU|6b229040-c589-4408-b4c1-4285663d20a8;#26;#SL|98a412ae-eb01-49e9-ae3d-585a81724cfc;#17;#PL|1e03da61-4678-4e07-b136-b5024ca9197b;#37;#BG|1a1b3951-7821-4e6a-85f5-5673fc08bd2c;#29;#SV|c2ed69e7-a339-43d7-8f22-d93680a92aa0;#25;#ET|ff6c3f4c-b02c-4c3c-ab07-2c37995a7a0a;#11;#IT|0774613c-01ed-4e5d-a25d-11d2388de825;#15;#SK|46d9fce0-ef79-4f71-b89b-cd6aa82426b8;#7;#EN|f2175f21-25d7-44a3-96da-d6a61b075e1b</vt:lpwstr>
  </property>
  <property fmtid="{D5CDD505-2E9C-101B-9397-08002B2CF9AE}" pid="10" name="DocumentType_0">
    <vt:lpwstr>TCD|cd9d6eb6-3f4f-424a-b2d1-57c9d450eaaf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4835</vt:i4>
  </property>
  <property fmtid="{D5CDD505-2E9C-101B-9397-08002B2CF9AE}" pid="15" name="FicheYear">
    <vt:i4>2020</vt:i4>
  </property>
  <property fmtid="{D5CDD505-2E9C-101B-9397-08002B2CF9AE}" pid="16" name="DocumentVersion">
    <vt:i4>1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22;#TCD|cd9d6eb6-3f4f-424a-b2d1-57c9d450eaaf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LV|46f7e311-5d9f-4663-b433-18aeccb7ace7;LT|a7ff5ce7-6123-4f68-865a-a57c31810414;PT|50ccc04a-eadd-42ae-a0cb-acaf45f812ba;EN|f2175f21-25d7-44a3-96da-d6a61b075e1b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50;#SEDEC-VII|2234d809-5ab4-4b5b-84d4-8dd3531523c3;#5;#Unrestricted|826e22d7-d029-4ec0-a450-0c28ff673572;#31;#LV|46f7e311-5d9f-4663-b433-18aeccb7ace7;#8;#TRA|150d2a88-1431-44e6-a8ca-0bb753ab8672;#7;#EN|f2175f21-25d7-44a3-96da-d6a61b075e1b;#6;#Final|ea5e6674-7b27-4bac-b091-73adbb394efe;#22;#TCD|cd9d6eb6-3f4f-424a-b2d1-57c9d450eaaf;#19;#LT|a7ff5ce7-6123-4f68-865a-a57c31810414;#1;#CoR|cb2d75ef-4a7d-4393-b797-49ed6298a5ea;#35;#PT|50ccc04a-eadd-42ae-a0cb-acaf45f812b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12567</vt:i4>
  </property>
  <property fmtid="{D5CDD505-2E9C-101B-9397-08002B2CF9AE}" pid="38" name="DocumentLanguage">
    <vt:lpwstr>17;#PL|1e03da61-4678-4e07-b136-b5024ca9197b</vt:lpwstr>
  </property>
  <property fmtid="{D5CDD505-2E9C-101B-9397-08002B2CF9AE}" pid="39" name="_docset_NoMedatataSyncRequired">
    <vt:lpwstr>False</vt:lpwstr>
  </property>
</Properties>
</file>