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B5D" w:rsidRPr="003814FB" w:rsidRDefault="0023381A" w:rsidP="00151730">
      <w:pPr>
        <w:rPr>
          <w:b/>
          <w:sz w:val="36"/>
          <w:szCs w:val="36"/>
          <w:u w:val="single"/>
        </w:rPr>
      </w:pPr>
      <w:r>
        <w:rPr>
          <w:noProof/>
          <w:lang w:val="fr-BE" w:eastAsia="fr-BE"/>
        </w:rPr>
        <w:drawing>
          <wp:anchor distT="0" distB="0" distL="114300" distR="114300" simplePos="0" relativeHeight="251658240" behindDoc="0" locked="0" layoutInCell="1" allowOverlap="1" wp14:anchorId="7062ED57" wp14:editId="16948DED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202400" cy="925200"/>
            <wp:effectExtent l="0" t="0" r="0" b="8255"/>
            <wp:wrapNone/>
            <wp:docPr id="5" name="Picture 5" descr="LOGO-CE for Word EN Posit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CE for Word EN Positiv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400" cy="9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872" w:rsidRPr="007D03FD">
        <w:rPr>
          <w:noProof/>
          <w:lang w:val="fr-BE" w:eastAsia="fr-BE"/>
        </w:rPr>
        <w:drawing>
          <wp:inline distT="0" distB="0" distL="0" distR="0" wp14:anchorId="6D231A06" wp14:editId="76AA401A">
            <wp:extent cx="1190288" cy="1030682"/>
            <wp:effectExtent l="0" t="0" r="0" b="0"/>
            <wp:docPr id="27" name="Picture 27" descr="C:\Users\mreg\Music\New LOGO CoR\Logo\logo_CoR-vertical-positive-pt-quadri_MR.jpg" title="CoRLogo_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reg\Music\New LOGO CoR\Logo\logo_CoR-vertical-positive-pt-quadri_M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14" cy="1054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87B5D" w:rsidRPr="003814FB" w:rsidRDefault="00C82EBC">
      <w:pPr>
        <w:jc w:val="center"/>
        <w:rPr>
          <w:b/>
          <w:sz w:val="36"/>
          <w:szCs w:val="36"/>
          <w:u w:val="single"/>
        </w:rPr>
      </w:pPr>
      <w:r>
        <w:rPr>
          <w:b/>
          <w:noProof/>
          <w:sz w:val="20"/>
          <w:szCs w:val="36"/>
          <w:u w:val="single"/>
          <w:lang w:val="fr-BE" w:eastAsia="fr-BE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0A16B62C" wp14:editId="245779F2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2EBC" w:rsidRPr="00260E65" w:rsidRDefault="00C82EB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16B62C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33pt;margin-top:793.8pt;width:51pt;height:31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l0EtQIAALk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" o:allowincell="f" filled="f" stroked="f">
                <v:textbox>
                  <w:txbxContent>
                    <w:p w:rsidR="00C82EBC" w:rsidRPr="00260E65" w:rsidRDefault="00C82EB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PT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2285A" w:rsidRPr="003814FB" w:rsidRDefault="00C34231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Domínios de cooperação reforçada entre o Comité das Regiões Europeu (CR) e a Direção-Geral do Emprego, dos Assuntos Sociais e da Inclusão da Comissão Europeia (DG EMPL)</w:t>
      </w:r>
    </w:p>
    <w:p w:rsidR="001C24E4" w:rsidRPr="003814FB" w:rsidRDefault="001C24E4">
      <w:pPr>
        <w:jc w:val="center"/>
        <w:rPr>
          <w:b/>
          <w:sz w:val="36"/>
          <w:szCs w:val="36"/>
          <w:u w:val="single"/>
          <w:lang w:val="en-GB"/>
        </w:rPr>
      </w:pPr>
    </w:p>
    <w:p w:rsidR="009521C5" w:rsidRPr="007D6282" w:rsidRDefault="009521C5" w:rsidP="007D6282">
      <w:pPr>
        <w:pStyle w:val="Heading1"/>
        <w:numPr>
          <w:ilvl w:val="0"/>
          <w:numId w:val="22"/>
        </w:numPr>
        <w:ind w:left="567" w:hanging="567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Introdução</w:t>
      </w:r>
    </w:p>
    <w:p w:rsidR="00014693" w:rsidRPr="007D6282" w:rsidRDefault="00014693">
      <w:pPr>
        <w:rPr>
          <w:sz w:val="24"/>
          <w:szCs w:val="24"/>
          <w:lang w:val="en-GB"/>
        </w:rPr>
      </w:pPr>
    </w:p>
    <w:p w:rsidR="00014E6A" w:rsidRPr="007D6282" w:rsidRDefault="00C82EBC">
      <w:pPr>
        <w:rPr>
          <w:color w:val="000000"/>
        </w:rPr>
      </w:pPr>
      <w:r>
        <w:t>Mesmo antes da crise da COVID-19, já era evidente que uma «Europa social» é essencial no contributo da UE para sociedades democráticas, coesas, culturalmente diversas e prósperas. Representa o progresso económico e social, a luta contra a discriminação e a exclusão social, preparando os europeus para o mercado de trabalho e permitindo-lhes viver plenamente as suas vidas</w:t>
      </w:r>
      <w:r w:rsidR="00014E6A" w:rsidRPr="007D6282">
        <w:rPr>
          <w:rStyle w:val="FootnoteReference"/>
          <w:lang w:val="en-GB"/>
        </w:rPr>
        <w:footnoteReference w:id="2"/>
      </w:r>
      <w:r>
        <w:t xml:space="preserve">. </w:t>
      </w:r>
    </w:p>
    <w:p w:rsidR="00014E6A" w:rsidRPr="007D6282" w:rsidRDefault="00014E6A">
      <w:pPr>
        <w:rPr>
          <w:color w:val="000000"/>
          <w:lang w:val="en-GB"/>
        </w:rPr>
      </w:pPr>
    </w:p>
    <w:p w:rsidR="00014E6A" w:rsidRPr="003814FB" w:rsidRDefault="00014E6A" w:rsidP="005D5EB3">
      <w:pPr>
        <w:jc w:val="both"/>
      </w:pPr>
      <w:r>
        <w:t xml:space="preserve">Embora o Comité das Regiões Europeu (CR) e a Direção-Geral do Emprego, dos Assuntos Sociais e da Inclusão (DG EMPL) já tenham cooperado em diversos domínios no passado, é evidente que os desafios que se avizinham e o forte interesse do comissário responsável proporcionam uma oportunidade para elevar a cooperação entre a Comissão e o CR neste domínio a um novo patamar. </w:t>
      </w:r>
    </w:p>
    <w:p w:rsidR="00014E6A" w:rsidRPr="003814FB" w:rsidRDefault="00014E6A">
      <w:pPr>
        <w:rPr>
          <w:lang w:val="en-GB"/>
        </w:rPr>
      </w:pPr>
    </w:p>
    <w:p w:rsidR="00014E6A" w:rsidRPr="007D6282" w:rsidRDefault="00014E6A" w:rsidP="007D6282">
      <w:pPr>
        <w:pStyle w:val="ListParagraph"/>
        <w:numPr>
          <w:ilvl w:val="0"/>
          <w:numId w:val="26"/>
        </w:numPr>
        <w:ind w:left="360"/>
        <w:jc w:val="both"/>
      </w:pPr>
      <w:r>
        <w:rPr>
          <w:rFonts w:ascii="Times New Roman" w:hAnsi="Times New Roman"/>
        </w:rPr>
        <w:t xml:space="preserve">O comissário Nicolas Schmit manifestou um interesse notável no CR, tendo já participado em duas reuniões plenárias e numa reunião da Comissão da Política Social, Educação, Emprego, Investigação e Cultura (SEDEC) em menos de um ano. </w:t>
      </w:r>
    </w:p>
    <w:p w:rsidR="00164C40" w:rsidRPr="007D6282" w:rsidRDefault="00164C40" w:rsidP="007D6282">
      <w:pPr>
        <w:pStyle w:val="ListParagraph"/>
        <w:numPr>
          <w:ilvl w:val="0"/>
          <w:numId w:val="26"/>
        </w:numPr>
        <w:ind w:left="360"/>
        <w:jc w:val="both"/>
      </w:pPr>
      <w:r>
        <w:rPr>
          <w:rFonts w:ascii="Times New Roman" w:hAnsi="Times New Roman"/>
        </w:rPr>
        <w:t>Joost Korte (diretor-geral da DG EMPL) participou na reunião da Comissão SEDEC em fevereiro de 2020 e, nessa ocasião, fez um discurso no qual incentivou os membros do CR a pronunciarem</w:t>
      </w:r>
      <w:r w:rsidR="00395176">
        <w:rPr>
          <w:rFonts w:ascii="Times New Roman" w:hAnsi="Times New Roman"/>
        </w:rPr>
        <w:noBreakHyphen/>
      </w:r>
      <w:r>
        <w:rPr>
          <w:rFonts w:ascii="Times New Roman" w:hAnsi="Times New Roman"/>
        </w:rPr>
        <w:t>se sobre a Comunicação – Uma Europa social forte para transições justas, conforme solicitado pela Comissão Europeia nessa comunicação (a Comissão SEDEC já está a elaborar um parecer sobre esta matéria).</w:t>
      </w:r>
    </w:p>
    <w:p w:rsidR="00164C40" w:rsidRPr="007D6282" w:rsidRDefault="00164C40" w:rsidP="007D6282">
      <w:pPr>
        <w:pStyle w:val="ListParagraph"/>
        <w:numPr>
          <w:ilvl w:val="0"/>
          <w:numId w:val="26"/>
        </w:numPr>
        <w:ind w:left="360"/>
        <w:jc w:val="both"/>
      </w:pPr>
      <w:r>
        <w:rPr>
          <w:rFonts w:ascii="Times New Roman" w:hAnsi="Times New Roman"/>
        </w:rPr>
        <w:lastRenderedPageBreak/>
        <w:t>Tanto o comissário como o diretor-geral indicaram claramente que esperam que o CR participe ativamente na preparação da Cimeira Social do Porto (maio de 2021) e no Plano de Ação para a aplicação do Pilar Europeu dos Direitos Sociais (PEDS).</w:t>
      </w:r>
    </w:p>
    <w:p w:rsidR="006A6308" w:rsidRPr="007D6282" w:rsidRDefault="006A6308" w:rsidP="007D6282">
      <w:pPr>
        <w:pStyle w:val="ListParagraph"/>
        <w:numPr>
          <w:ilvl w:val="0"/>
          <w:numId w:val="26"/>
        </w:numPr>
        <w:ind w:left="360"/>
        <w:jc w:val="both"/>
      </w:pPr>
      <w:r>
        <w:rPr>
          <w:rFonts w:ascii="Times New Roman" w:hAnsi="Times New Roman"/>
        </w:rPr>
        <w:t>Este espírito de colaboração mútua foi novamente promovido durante a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reunião do comissário e do presidente do CR (9 de julho), na qual se confirmou que ambas as instituições devem procurar mais oportunidades de cooperação.</w:t>
      </w:r>
    </w:p>
    <w:p w:rsidR="00864E4E" w:rsidRPr="003814FB" w:rsidRDefault="00864E4E" w:rsidP="005D5EB3">
      <w:pPr>
        <w:jc w:val="both"/>
      </w:pPr>
      <w:r>
        <w:t>No Protocolo sobre a cooperação entra a Comissão Europeia e o Comité das Regiões (2012/C 102/02)</w:t>
      </w:r>
      <w:r w:rsidRPr="007D6282">
        <w:rPr>
          <w:lang w:val="en-GB"/>
        </w:rPr>
        <w:footnoteReference w:id="3"/>
      </w:r>
      <w:r>
        <w:t>, a Comissão e o CR concordaram em intensificar a sua colaboração. Esta nota conjunta do CR e da DG EMPL estipula os domínios de intervenção que requerem uma colaboração intensificada e os instrumentos principais para o efeito.</w:t>
      </w:r>
    </w:p>
    <w:p w:rsidR="003D208F" w:rsidRPr="003814FB" w:rsidRDefault="003D208F">
      <w:pPr>
        <w:rPr>
          <w:lang w:val="en-GB"/>
        </w:rPr>
      </w:pPr>
    </w:p>
    <w:p w:rsidR="00EB524C" w:rsidRPr="007D6282" w:rsidRDefault="00EA2779" w:rsidP="007D6282">
      <w:pPr>
        <w:pStyle w:val="Heading1"/>
        <w:numPr>
          <w:ilvl w:val="0"/>
          <w:numId w:val="22"/>
        </w:numPr>
        <w:spacing w:before="0"/>
        <w:ind w:left="567" w:hanging="567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Principais temas para uma cooperação mais estreita entre o CR e a DG EMPL</w:t>
      </w:r>
    </w:p>
    <w:p w:rsidR="004D765D" w:rsidRPr="003814FB" w:rsidRDefault="004D765D" w:rsidP="007D6282">
      <w:pPr>
        <w:keepNext/>
        <w:rPr>
          <w:lang w:val="en-GB"/>
        </w:rPr>
      </w:pPr>
    </w:p>
    <w:p w:rsidR="00964812" w:rsidRPr="007D6282" w:rsidRDefault="008E118B">
      <w:r>
        <w:t>Tendo em conta o âmbito alargado dos temas associados à dimensão social e os recursos disponíveis, é importante concentrar a cooperação intensificada em domínios onde o CR possa dar um claro valor acrescentado e em que a dimensão territorial seja mais forte. Não impedindo a cooperação noutros domínios, em particular na promoção da economia social, os domínios de cooperação reforçada são, portanto, os seguintes:</w:t>
      </w:r>
    </w:p>
    <w:p w:rsidR="003D208F" w:rsidRPr="007D6282" w:rsidRDefault="003D208F">
      <w:pPr>
        <w:rPr>
          <w:lang w:val="en-GB"/>
        </w:rPr>
      </w:pPr>
    </w:p>
    <w:p w:rsidR="00EA2779" w:rsidRPr="007D6282" w:rsidRDefault="00EA2779" w:rsidP="007D6282">
      <w:pPr>
        <w:pStyle w:val="Heading2"/>
        <w:rPr>
          <w:rFonts w:asciiTheme="majorHAnsi" w:hAnsiTheme="majorHAnsi"/>
          <w:color w:val="365F91" w:themeColor="accent1" w:themeShade="BF"/>
        </w:rPr>
      </w:pPr>
      <w:r>
        <w:rPr>
          <w:rFonts w:ascii="Times New Roman" w:hAnsi="Times New Roman"/>
          <w:b/>
          <w:sz w:val="24"/>
          <w:szCs w:val="24"/>
        </w:rPr>
        <w:t>2.1.</w:t>
      </w:r>
      <w:r>
        <w:tab/>
      </w:r>
      <w:r>
        <w:rPr>
          <w:rFonts w:ascii="Times New Roman" w:hAnsi="Times New Roman"/>
          <w:b/>
          <w:sz w:val="24"/>
          <w:szCs w:val="32"/>
        </w:rPr>
        <w:t>O Pilar Europeu dos Direitos Sociais</w:t>
      </w:r>
    </w:p>
    <w:p w:rsidR="00EA2779" w:rsidRPr="007D6282" w:rsidRDefault="00EA2779" w:rsidP="007D6282">
      <w:pPr>
        <w:rPr>
          <w:b/>
          <w:u w:val="single"/>
          <w:lang w:val="en-GB"/>
        </w:rPr>
      </w:pPr>
    </w:p>
    <w:p w:rsidR="005366D6" w:rsidRPr="007D6282" w:rsidRDefault="005366D6" w:rsidP="007D6282">
      <w:pPr>
        <w:rPr>
          <w:szCs w:val="24"/>
        </w:rPr>
      </w:pPr>
      <w:r>
        <w:t>O Pilar Europeu dos Direitos Sociais é um documento consensual que reflete os valores da União no domínio do emprego e dos assuntos sociais.</w:t>
      </w:r>
      <w:r>
        <w:rPr>
          <w:i/>
          <w:szCs w:val="24"/>
        </w:rPr>
        <w:t xml:space="preserve"> </w:t>
      </w:r>
      <w:r>
        <w:t>Foi proclamado ao mais alto nível político e já trouxe medidas abrangentes a nível da UE, nacional, regional e local, reforçando a dimensão social da UE. Na sua Comunicação de 27 de maio de 2020, a Comissão colocou também o Pilar Europeu dos Direitos Sociais no centro dos seus planos para uma recuperação justa e inclusiva da crise da COVID</w:t>
      </w:r>
      <w:r w:rsidR="00395176">
        <w:noBreakHyphen/>
      </w:r>
      <w:r>
        <w:t>19.</w:t>
      </w:r>
    </w:p>
    <w:p w:rsidR="005366D6" w:rsidRPr="007D6282" w:rsidRDefault="005366D6">
      <w:pPr>
        <w:rPr>
          <w:szCs w:val="24"/>
          <w:lang w:val="en-GB" w:eastAsia="fr-BE"/>
        </w:rPr>
      </w:pPr>
    </w:p>
    <w:p w:rsidR="005366D6" w:rsidRPr="007D6282" w:rsidRDefault="005366D6">
      <w:pPr>
        <w:rPr>
          <w:szCs w:val="24"/>
        </w:rPr>
      </w:pPr>
      <w:r>
        <w:t xml:space="preserve">A Agenda Estratégica para 2019-2024, acordada pelo Conselho Europeu em junho de 2019, exorta à aplicação do Pilar Europeu dos Direitos Sociais ao nível da UE e dos Estados-Membros, levando em devida conta as respetivas competências. </w:t>
      </w:r>
    </w:p>
    <w:p w:rsidR="003D208F" w:rsidRPr="007D6282" w:rsidRDefault="003D208F">
      <w:pPr>
        <w:rPr>
          <w:szCs w:val="24"/>
          <w:lang w:val="en-GB" w:eastAsia="en-GB"/>
        </w:rPr>
      </w:pPr>
    </w:p>
    <w:p w:rsidR="005366D6" w:rsidRPr="007D6282" w:rsidRDefault="005366D6">
      <w:pPr>
        <w:rPr>
          <w:szCs w:val="24"/>
        </w:rPr>
      </w:pPr>
      <w:r>
        <w:t xml:space="preserve">As orientações políticas da presidente, Ursula von der Leyen, para a Comissão preveem o compromisso de criar um plano de ação para a plena aplicação do Pilar Europeu dos Direitos Sociais A Comunicação da Comissão – Uma Europa social forte para transições justas, de 14 de janeiro de 2020, propôs uma série de ações-chave para 2020 e 2021 e lançou um processo alargado de consulta </w:t>
      </w:r>
      <w:r>
        <w:lastRenderedPageBreak/>
        <w:t>e participação para contribuir para a preparação do plano de ação. A necessidade de proteção e apoio social é ainda maior durante a pandemia atual de COVID-19, pois os sistemas de apoio social dos Estados-Membros têm estado sob enorme pressão e o tecido social da UE está em risco de colapso.</w:t>
      </w:r>
    </w:p>
    <w:p w:rsidR="005366D6" w:rsidRPr="007D6282" w:rsidRDefault="005366D6">
      <w:pPr>
        <w:rPr>
          <w:szCs w:val="24"/>
          <w:lang w:val="en-GB" w:eastAsia="en-GB"/>
        </w:rPr>
      </w:pPr>
    </w:p>
    <w:p w:rsidR="005366D6" w:rsidRPr="007D6282" w:rsidRDefault="005366D6">
      <w:pPr>
        <w:autoSpaceDE w:val="0"/>
        <w:autoSpaceDN w:val="0"/>
        <w:adjustRightInd w:val="0"/>
        <w:rPr>
          <w:szCs w:val="24"/>
        </w:rPr>
      </w:pPr>
      <w:r>
        <w:t xml:space="preserve">O objetivo da Comissão é apresentar um plano de ação no início de 2021 e ter um parecer favorável para o mesmo ao mais alto nível político na Cimeira Social, organizada pela Presidência portuguesa do Conselho, em maio de 2021. </w:t>
      </w:r>
    </w:p>
    <w:p w:rsidR="00CE0C02" w:rsidRPr="007D6282" w:rsidRDefault="00CE0C02">
      <w:pPr>
        <w:rPr>
          <w:bCs/>
          <w:u w:val="single"/>
          <w:lang w:val="en-GB"/>
        </w:rPr>
      </w:pPr>
    </w:p>
    <w:p w:rsidR="00EA2779" w:rsidRPr="007D6282" w:rsidRDefault="00B40809" w:rsidP="007D6282">
      <w:pPr>
        <w:rPr>
          <w:bCs/>
        </w:rPr>
      </w:pPr>
      <w:r>
        <w:t>É evidente que os órgãos de poder local e regional desempenham um papel importante na designação e aplicação de políticas sociais e de emprego na UE. As diferentes regiões foram afetadas de formas muito diferentes pela crise da COVID-19, em função da estrutura económica e da exposição aos riscos sanitários. Os órgãos de poder local e regional podem contribuir para o desenvolvimento e a implementação de uma resposta à crise que aborde os desafios anteriores e posteriores à crise que se colocam à coesão social e territorial. É, pois, necessária a participação dos órgãos de poder local e regional, nomeadamente através:</w:t>
      </w:r>
    </w:p>
    <w:p w:rsidR="00CB78E1" w:rsidRPr="007D6282" w:rsidRDefault="00CB78E1" w:rsidP="007D6282">
      <w:pPr>
        <w:rPr>
          <w:bCs/>
          <w:u w:val="single"/>
          <w:lang w:val="en-GB"/>
        </w:rPr>
      </w:pPr>
    </w:p>
    <w:p w:rsidR="00CB78E1" w:rsidRPr="007D6282" w:rsidRDefault="00F771E0" w:rsidP="007D6282">
      <w:pPr>
        <w:pStyle w:val="ListParagraph"/>
        <w:numPr>
          <w:ilvl w:val="0"/>
          <w:numId w:val="19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do Parecer do CR – Uma Europa social forte para transições justas (relatora: Anne Karjalainen (FI-PSE)), adotado na reunião plenária de outubro de 2020), que constitui a resposta global do CR à comunicação da Comissão;</w:t>
      </w:r>
    </w:p>
    <w:p w:rsidR="00421A56" w:rsidRPr="007D6282" w:rsidRDefault="00421A56" w:rsidP="007D6282">
      <w:pPr>
        <w:pStyle w:val="ListParagraph"/>
        <w:spacing w:after="0" w:line="288" w:lineRule="auto"/>
        <w:ind w:left="360"/>
        <w:jc w:val="both"/>
        <w:rPr>
          <w:bCs/>
        </w:rPr>
      </w:pPr>
    </w:p>
    <w:p w:rsidR="00176CAE" w:rsidRPr="007D6282" w:rsidRDefault="00176CAE" w:rsidP="007D6282">
      <w:pPr>
        <w:pStyle w:val="ListParagraph"/>
        <w:numPr>
          <w:ilvl w:val="0"/>
          <w:numId w:val="19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do parecer do CR – Plano para o futuro dos prestadores de cuidados e cuidadores – oportunidades locais e regionais para um desafio europeu (relator por confirmar);</w:t>
      </w:r>
    </w:p>
    <w:p w:rsidR="00E136C4" w:rsidRPr="007D6282" w:rsidRDefault="00E136C4" w:rsidP="007D6282">
      <w:pPr>
        <w:pStyle w:val="ListParagraph"/>
        <w:spacing w:after="0" w:line="288" w:lineRule="auto"/>
        <w:ind w:left="360"/>
        <w:jc w:val="both"/>
      </w:pPr>
    </w:p>
    <w:p w:rsidR="00F771E0" w:rsidRPr="007D6282" w:rsidRDefault="00421A56" w:rsidP="007D6282">
      <w:pPr>
        <w:pStyle w:val="ListParagraph"/>
        <w:numPr>
          <w:ilvl w:val="0"/>
          <w:numId w:val="19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da sessão sobre o tema «Segurança social dos trabalhadores de plataformas – Desafios e oportunidades», organizada no âmbito da Semana Europeia das Regiões e dos Municípios de 2020, com a participação da DG EMPL;</w:t>
      </w:r>
    </w:p>
    <w:p w:rsidR="00267B85" w:rsidRPr="007D6282" w:rsidRDefault="00267B85" w:rsidP="007D6282">
      <w:pPr>
        <w:pStyle w:val="ListParagraph"/>
        <w:spacing w:after="0" w:line="288" w:lineRule="auto"/>
        <w:ind w:left="360"/>
        <w:jc w:val="both"/>
      </w:pPr>
    </w:p>
    <w:p w:rsidR="00512960" w:rsidRPr="007D6282" w:rsidRDefault="00F5129F" w:rsidP="007D6282">
      <w:pPr>
        <w:pStyle w:val="ListParagraph"/>
        <w:numPr>
          <w:ilvl w:val="0"/>
          <w:numId w:val="19"/>
        </w:numPr>
        <w:spacing w:after="0" w:line="288" w:lineRule="auto"/>
        <w:ind w:left="360"/>
        <w:jc w:val="both"/>
        <w:rPr>
          <w:b/>
          <w:u w:val="single"/>
        </w:rPr>
      </w:pPr>
      <w:r>
        <w:rPr>
          <w:rFonts w:ascii="Times New Roman" w:hAnsi="Times New Roman"/>
        </w:rPr>
        <w:t>a avaliação pela Comissão e pelo CR, juntamente com a Presidência portuguesa do Conselho da UE, das modalidades de participação do CR na Cimeira Social, a fim de refletir a dimensão territorial da apl</w:t>
      </w:r>
      <w:r w:rsidR="00D80872">
        <w:rPr>
          <w:rFonts w:ascii="Times New Roman" w:hAnsi="Times New Roman"/>
        </w:rPr>
        <w:t xml:space="preserve">icação do </w:t>
      </w:r>
      <w:r>
        <w:rPr>
          <w:rFonts w:ascii="Times New Roman" w:hAnsi="Times New Roman"/>
        </w:rPr>
        <w:t>PEDS.</w:t>
      </w:r>
    </w:p>
    <w:p w:rsidR="00151730" w:rsidRPr="007D6282" w:rsidRDefault="00151730" w:rsidP="007D6282">
      <w:pPr>
        <w:rPr>
          <w:lang w:val="en-GB"/>
        </w:rPr>
      </w:pPr>
    </w:p>
    <w:p w:rsidR="00EA2779" w:rsidRPr="007D6282" w:rsidRDefault="00EA2779" w:rsidP="007D6282">
      <w:pPr>
        <w:pStyle w:val="Heading2"/>
        <w:ind w:left="426" w:hanging="426"/>
        <w:jc w:val="both"/>
        <w:rPr>
          <w:rFonts w:asciiTheme="majorHAnsi" w:eastAsiaTheme="majorEastAsia" w:hAnsiTheme="majorHAnsi" w:cstheme="majorBidi"/>
          <w:b/>
          <w:color w:val="365F91" w:themeColor="accent1" w:themeShade="BF"/>
          <w:sz w:val="24"/>
          <w:szCs w:val="32"/>
        </w:rPr>
      </w:pPr>
      <w:r>
        <w:rPr>
          <w:rFonts w:ascii="Times New Roman" w:hAnsi="Times New Roman"/>
          <w:b/>
          <w:sz w:val="24"/>
          <w:szCs w:val="24"/>
        </w:rPr>
        <w:t>2.2.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32"/>
        </w:rPr>
        <w:t>Preparação do Fundo Social Europeu Mais (FSE+) e da REACT-EU para assegurar um financiamento adequado de medidas para promover o emprego dos jovens‏</w:t>
      </w:r>
    </w:p>
    <w:p w:rsidR="00527019" w:rsidRPr="007D6282" w:rsidRDefault="00527019">
      <w:pPr>
        <w:keepNext/>
        <w:rPr>
          <w:lang w:val="en-GB"/>
        </w:rPr>
      </w:pPr>
    </w:p>
    <w:p w:rsidR="00527019" w:rsidRPr="007D6282" w:rsidRDefault="00527019" w:rsidP="007D6282">
      <w:pPr>
        <w:rPr>
          <w:bCs/>
        </w:rPr>
      </w:pPr>
      <w:r>
        <w:t xml:space="preserve">No momento atual, muitos órgãos de poder local e regional estão ativamente empenhados na preparação dos futuros programas do FSE+ e no desenvolvimento de projetos que beneficiam do financiamento no âmbito do FSE+. Com o FSE+, a Comissão propôs que o financiamento de medidas para promover o emprego dos jovens fosse alargado nos Estados-Membros nos quais a proporção de </w:t>
      </w:r>
      <w:r>
        <w:lastRenderedPageBreak/>
        <w:t>jovens que não trabalham, não estudam e não seguem uma formação está acima da média da UE</w:t>
      </w:r>
      <w:r w:rsidR="006E25E8" w:rsidRPr="007D6282">
        <w:rPr>
          <w:rStyle w:val="FootnoteReference"/>
          <w:bCs/>
          <w:sz w:val="24"/>
          <w:szCs w:val="24"/>
          <w:lang w:val="en-GB"/>
        </w:rPr>
        <w:footnoteReference w:id="4"/>
      </w:r>
      <w:r>
        <w:t>. Acrescente-se que a nova Iniciativa REACT-EU pode apoiar as medidas para promover o emprego dos jovens. A necessidade de aproveitar na totalidade os benefícios deste apoio adicional é fundamental, tendo em conta a pandemia atual e o seu provável impacto no emprego dos jovens.</w:t>
      </w:r>
    </w:p>
    <w:p w:rsidR="00CB78E1" w:rsidRPr="007D6282" w:rsidRDefault="00CB78E1">
      <w:pPr>
        <w:rPr>
          <w:bCs/>
          <w:u w:val="single"/>
          <w:lang w:val="en-GB"/>
        </w:rPr>
      </w:pPr>
    </w:p>
    <w:p w:rsidR="00AE28C2" w:rsidRPr="007D6282" w:rsidRDefault="00F52BD7">
      <w:pPr>
        <w:rPr>
          <w:bCs/>
        </w:rPr>
      </w:pPr>
      <w:r>
        <w:t>O CR pode facilitar o intercâmbio de informações e de boas práticas em matéria de financiamento no âmbito da REACT-EU e do FSE+, concedido como apoio às medidas para promover o emprego dos jovens. Esta ajuda financeira contribuirá para a meta global da UE de consagrar pelo menos 22 mil milhões de euros a este objetivo</w:t>
      </w:r>
      <w:r w:rsidR="008911F1" w:rsidRPr="007D6282">
        <w:rPr>
          <w:rStyle w:val="FootnoteReference"/>
          <w:bCs/>
          <w:sz w:val="24"/>
          <w:szCs w:val="24"/>
          <w:lang w:val="en-GB"/>
        </w:rPr>
        <w:footnoteReference w:id="5"/>
      </w:r>
      <w:r>
        <w:t xml:space="preserve"> e ser o elemento financiador do reforço da Garantia para a Juventude</w:t>
      </w:r>
      <w:r w:rsidR="008911F1" w:rsidRPr="007D6282">
        <w:rPr>
          <w:rStyle w:val="FootnoteReference"/>
          <w:bCs/>
          <w:sz w:val="24"/>
          <w:szCs w:val="24"/>
          <w:lang w:val="en-GB"/>
        </w:rPr>
        <w:footnoteReference w:id="6"/>
      </w:r>
      <w:r>
        <w:t xml:space="preserve">. </w:t>
      </w:r>
    </w:p>
    <w:p w:rsidR="00AE28C2" w:rsidRPr="007D6282" w:rsidRDefault="00AE28C2">
      <w:pPr>
        <w:rPr>
          <w:bCs/>
          <w:u w:val="single"/>
          <w:lang w:val="en-GB"/>
        </w:rPr>
      </w:pPr>
    </w:p>
    <w:p w:rsidR="006106B7" w:rsidRPr="007D6282" w:rsidRDefault="002867F1">
      <w:pPr>
        <w:rPr>
          <w:bCs/>
        </w:rPr>
      </w:pPr>
      <w:r>
        <w:t xml:space="preserve">No espírito do princípio da parceria, o CR poderia promover o diálogo entre os órgãos de poder local e regional no desenvolvimento de conceitos para combater o desemprego dos jovens, em estreita colaboração com os parceiros sociais, tornando-se uma plataforma de troca de ideias entre regiões e municípios. </w:t>
      </w:r>
    </w:p>
    <w:p w:rsidR="006106B7" w:rsidRPr="007D6282" w:rsidRDefault="006106B7">
      <w:pPr>
        <w:rPr>
          <w:bCs/>
          <w:lang w:val="en-GB"/>
        </w:rPr>
      </w:pPr>
    </w:p>
    <w:p w:rsidR="00527019" w:rsidRPr="003814FB" w:rsidRDefault="006106B7">
      <w:r>
        <w:t xml:space="preserve">Ao fazê-lo, o CR pode dar um acompanhamento relevante à </w:t>
      </w:r>
      <w:r>
        <w:rPr>
          <w:color w:val="000000"/>
        </w:rPr>
        <w:t xml:space="preserve">Comunicação da Comissão – </w:t>
      </w:r>
      <w:r>
        <w:t>Apoio ao emprego dos jovens: uma ponte para o emprego da próxima geração</w:t>
      </w:r>
      <w:r w:rsidR="00150CCB" w:rsidRPr="007D6282">
        <w:rPr>
          <w:rStyle w:val="FootnoteReference"/>
          <w:sz w:val="24"/>
          <w:szCs w:val="24"/>
          <w:lang w:val="en-GB"/>
        </w:rPr>
        <w:footnoteReference w:id="7"/>
      </w:r>
      <w:r>
        <w:t xml:space="preserve"> e podem realizar-se outras reuniões entre a DG EMPL e o CR. </w:t>
      </w:r>
    </w:p>
    <w:p w:rsidR="00F165DD" w:rsidRPr="007D6282" w:rsidRDefault="00F165DD">
      <w:pPr>
        <w:rPr>
          <w:bCs/>
          <w:lang w:val="en-GB"/>
        </w:rPr>
      </w:pPr>
    </w:p>
    <w:p w:rsidR="00CB78E1" w:rsidRPr="007D6282" w:rsidRDefault="00CB78E1" w:rsidP="007D6282">
      <w:pPr>
        <w:pStyle w:val="Heading2"/>
        <w:ind w:left="567" w:hanging="567"/>
        <w:jc w:val="both"/>
        <w:rPr>
          <w:rFonts w:asciiTheme="majorHAnsi" w:eastAsiaTheme="majorEastAsia" w:hAnsiTheme="majorHAnsi" w:cstheme="majorBidi"/>
          <w:b/>
          <w:color w:val="365F91" w:themeColor="accent1" w:themeShade="BF"/>
          <w:sz w:val="24"/>
          <w:szCs w:val="32"/>
        </w:rPr>
      </w:pPr>
      <w:r>
        <w:rPr>
          <w:rFonts w:ascii="Times New Roman" w:hAnsi="Times New Roman"/>
          <w:b/>
          <w:sz w:val="24"/>
          <w:szCs w:val="24"/>
        </w:rPr>
        <w:t xml:space="preserve">2.3.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32"/>
        </w:rPr>
        <w:t xml:space="preserve">Agenda de competências </w:t>
      </w:r>
    </w:p>
    <w:p w:rsidR="006106B7" w:rsidRPr="007D6282" w:rsidRDefault="006106B7" w:rsidP="007D6282">
      <w:pPr>
        <w:keepNext/>
        <w:rPr>
          <w:rFonts w:eastAsiaTheme="majorEastAsia"/>
          <w:lang w:val="en-GB"/>
        </w:rPr>
      </w:pPr>
    </w:p>
    <w:p w:rsidR="006106B7" w:rsidRPr="007D6282" w:rsidRDefault="00EE2DE9" w:rsidP="007D6282">
      <w:r>
        <w:t>O impacto da pandemia na forma como trabalhamos e a dupla transição para uma economia digital e ecológica estão a mudar fortemente o paradigma das competências na UE. Por conseguinte, é fundamental promover e associar a perspetiva local sobre as competências conforme estipulado na recente Agenda de Competências para a Europa em prol da competitividade sustentável, da justiça social e da resiliência</w:t>
      </w:r>
      <w:r w:rsidR="002867F1" w:rsidRPr="007D6282">
        <w:rPr>
          <w:rStyle w:val="FootnoteReference"/>
          <w:bCs/>
          <w:sz w:val="24"/>
          <w:szCs w:val="24"/>
          <w:lang w:val="en-GB"/>
        </w:rPr>
        <w:footnoteReference w:id="8"/>
      </w:r>
      <w:r>
        <w:t xml:space="preserve">. Trabalhar ao nível local pode maximizar a participação dos parceiros locais, nomeadamente as PME, e, ao mesmo tempo, resultar numa melhor compreensão das necessidades do mercado de trabalho local e na exploração de sinergias com outras estratégias locais e regionais. </w:t>
      </w:r>
      <w:r>
        <w:lastRenderedPageBreak/>
        <w:t>Além disso, a perspetiva regional e local pode contribuir para a delineação de previsões qualitativas e de prognósticos em matéria de competências quantitativas, que, por sua vez, podem converter-se num modelo ou método de antecipação de competências para futuros planeamentos ou formulações de políticas.</w:t>
      </w:r>
    </w:p>
    <w:p w:rsidR="006106B7" w:rsidRPr="007D6282" w:rsidRDefault="006106B7">
      <w:pPr>
        <w:rPr>
          <w:bCs/>
          <w:lang w:val="en-GB"/>
        </w:rPr>
      </w:pPr>
    </w:p>
    <w:p w:rsidR="00421A56" w:rsidRPr="007D6282" w:rsidRDefault="00150CCB" w:rsidP="007D6282">
      <w:pPr>
        <w:rPr>
          <w:bCs/>
        </w:rPr>
      </w:pPr>
      <w:r>
        <w:t>É possível reforçar a cooperação através das seguintes ações:</w:t>
      </w:r>
    </w:p>
    <w:p w:rsidR="000A7400" w:rsidRPr="007D6282" w:rsidRDefault="000A7400" w:rsidP="007D6282">
      <w:pPr>
        <w:pStyle w:val="ListParagraph"/>
        <w:spacing w:after="0" w:line="288" w:lineRule="auto"/>
        <w:ind w:left="360"/>
        <w:jc w:val="both"/>
        <w:rPr>
          <w:rStyle w:val="normaltextrun"/>
        </w:rPr>
      </w:pPr>
    </w:p>
    <w:p w:rsidR="000A7400" w:rsidRPr="007D6282" w:rsidRDefault="00151730" w:rsidP="007D6282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Style w:val="normaltextrun"/>
        </w:rPr>
      </w:pPr>
      <w:r>
        <w:rPr>
          <w:rStyle w:val="normaltextrun"/>
        </w:rPr>
        <w:t>a promoção conjunta do Pacto para as Competências como forma de as regiões constituírem parcerias com a indústria e prestadores de formação no sentido de aumentar e requalificar as competências da população local;</w:t>
      </w:r>
    </w:p>
    <w:p w:rsidR="000A7400" w:rsidRPr="007D6282" w:rsidRDefault="000A7400" w:rsidP="007D6282">
      <w:pPr>
        <w:pStyle w:val="ListParagraph"/>
        <w:spacing w:after="0" w:line="288" w:lineRule="auto"/>
        <w:ind w:left="360"/>
        <w:jc w:val="both"/>
        <w:rPr>
          <w:rStyle w:val="normaltextrun"/>
        </w:rPr>
      </w:pPr>
    </w:p>
    <w:p w:rsidR="00421A56" w:rsidRPr="007D6282" w:rsidRDefault="000A7400" w:rsidP="007D6282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Style w:val="normaltextrun"/>
        </w:rPr>
      </w:pPr>
      <w:r>
        <w:rPr>
          <w:rStyle w:val="normaltextrun"/>
        </w:rPr>
        <w:t>a Conferência de Alto Nível sobre programas de aprendizagem, coorganizada com a DG EMPL, dedicada ao tema «O papel dos municípios e das regiões na oferta de programas de aprendizagem de alta qualidade», programada para a primavera de 2021 devido à COVID-19, com um plano adicional de eventos em linha antes da conferência principal:</w:t>
      </w:r>
    </w:p>
    <w:p w:rsidR="000A7400" w:rsidRPr="007D6282" w:rsidRDefault="000A7400">
      <w:pPr>
        <w:rPr>
          <w:rStyle w:val="normaltextrun"/>
          <w:lang w:val="en-GB"/>
        </w:rPr>
      </w:pPr>
    </w:p>
    <w:tbl>
      <w:tblPr>
        <w:tblW w:w="0" w:type="auto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3"/>
        <w:gridCol w:w="3817"/>
        <w:gridCol w:w="2069"/>
      </w:tblGrid>
      <w:tr w:rsidR="00EB3F6F">
        <w:tc>
          <w:tcPr>
            <w:tcW w:w="2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Data</w:t>
            </w:r>
          </w:p>
        </w:tc>
        <w:tc>
          <w:tcPr>
            <w:tcW w:w="3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pPr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Seminários em linha/Conferência</w:t>
            </w:r>
          </w:p>
        </w:tc>
        <w:tc>
          <w:tcPr>
            <w:tcW w:w="2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Tema</w:t>
            </w:r>
          </w:p>
        </w:tc>
      </w:tr>
      <w:tr w:rsidR="00EB3F6F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Terça-feira, 29 de setembro de 2020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 xml:space="preserve">Primeiro seminário em linha: </w:t>
            </w:r>
            <w:r>
              <w:rPr>
                <w:i/>
                <w:iCs/>
              </w:rPr>
              <w:t>O impacto da COVID-19 nos programas de aprendizagem. O papel das regiões e dos municípios.</w:t>
            </w:r>
            <w:r>
              <w:t xml:space="preserve"> 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Foco na resposta à COVID-19</w:t>
            </w:r>
          </w:p>
        </w:tc>
      </w:tr>
      <w:tr w:rsidR="00EB3F6F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Janeiro/fevereiro de 2021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 xml:space="preserve">Segundo seminário em linha: </w:t>
            </w:r>
            <w:r>
              <w:rPr>
                <w:i/>
                <w:iCs/>
              </w:rPr>
              <w:t>A dupla transição: o papel dos municípios na oferta de programas de aprendizagem de alta qualidade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Foco na dupla transição ecológica e digital</w:t>
            </w:r>
          </w:p>
        </w:tc>
      </w:tr>
      <w:tr w:rsidR="00EB3F6F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Março/abril de 2021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 xml:space="preserve">Terceiro seminário em linha: </w:t>
            </w:r>
            <w:r>
              <w:rPr>
                <w:i/>
                <w:iCs/>
              </w:rPr>
              <w:t>A dupla transição: o papel das regiões na oferta de programas de aprendizagem de alta qualidade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 xml:space="preserve">Foco na dupla transição ecológica e digital </w:t>
            </w:r>
          </w:p>
        </w:tc>
      </w:tr>
      <w:tr w:rsidR="00EB3F6F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3 e 4 de junho de 2021 (a confirmar)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 xml:space="preserve">Conferência principal 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A confirmar</w:t>
            </w:r>
          </w:p>
        </w:tc>
      </w:tr>
      <w:tr w:rsidR="00EB3F6F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A confirmar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Reuniões de acompanhamento (em linha)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A confirmar</w:t>
            </w:r>
          </w:p>
        </w:tc>
      </w:tr>
    </w:tbl>
    <w:p w:rsidR="002D435E" w:rsidRPr="007D6282" w:rsidRDefault="002D435E" w:rsidP="007D6282">
      <w:pPr>
        <w:pStyle w:val="ListParagraph"/>
        <w:spacing w:after="0" w:line="288" w:lineRule="auto"/>
        <w:ind w:left="360"/>
        <w:jc w:val="both"/>
        <w:rPr>
          <w:rStyle w:val="normaltextrun"/>
        </w:rPr>
      </w:pPr>
    </w:p>
    <w:p w:rsidR="002D435E" w:rsidRPr="007D6282" w:rsidRDefault="00151730" w:rsidP="007D6282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cooperação no âmbito da elaboração do parecer sobre a Agenda de Competências para a Europa em prol da competitividade sustentável, da justiça social e da resiliência (relator: Csaba Borboly, RO-PPE); e </w:t>
      </w:r>
    </w:p>
    <w:p w:rsidR="00F165DD" w:rsidRPr="007D6282" w:rsidRDefault="00F165DD" w:rsidP="007D6282">
      <w:pPr>
        <w:pStyle w:val="ListParagraph"/>
        <w:spacing w:after="0" w:line="288" w:lineRule="auto"/>
        <w:ind w:left="360"/>
        <w:jc w:val="both"/>
      </w:pPr>
    </w:p>
    <w:p w:rsidR="00176CAE" w:rsidRPr="007D6282" w:rsidRDefault="00151730" w:rsidP="007D6282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colaboração na Aliança Europeia para a Aprendizagem. O CR e a Aliança podem desenvolver trabalhos numa das prioridades do objetivo renovado da Aliança, nomeadamente «A mobilização </w:t>
      </w:r>
      <w:r>
        <w:rPr>
          <w:rFonts w:ascii="Times New Roman" w:hAnsi="Times New Roman"/>
        </w:rPr>
        <w:lastRenderedPageBreak/>
        <w:t>dos órgãos de poder local e regional como catalisadores da aprendizagem no contexto empresarial local». Exemplo disso é a participação da nova Rede de Cidades para a Aprendizagem nos seminários em linha, organizados conjuntamente pelo CR e a Aliança. Um dos principais objetivos da rede será a sensibilização para o potencial que as cidades têm em termos de apoio à aprendizagem. A finalidade é que, através da rede, as cidades consigam aprender umas com as outras, colaborar, desenvolver ferramentas, partilhar boas práticas e dar e receber apoio técnico e estratégico.   </w:t>
      </w:r>
    </w:p>
    <w:p w:rsidR="00C34231" w:rsidRPr="003814FB" w:rsidRDefault="00C34231">
      <w:pPr>
        <w:rPr>
          <w:rFonts w:eastAsiaTheme="majorEastAsia"/>
          <w:lang w:val="en-GB"/>
        </w:rPr>
      </w:pPr>
    </w:p>
    <w:p w:rsidR="003D64D4" w:rsidRPr="007D6282" w:rsidRDefault="00025C0A" w:rsidP="007D6282">
      <w:pPr>
        <w:pStyle w:val="Heading2"/>
        <w:ind w:left="567" w:hanging="567"/>
        <w:jc w:val="both"/>
        <w:rPr>
          <w:rFonts w:asciiTheme="majorHAnsi" w:eastAsiaTheme="majorEastAsia" w:hAnsiTheme="majorHAnsi" w:cstheme="majorBidi"/>
          <w:b/>
          <w:color w:val="365F91" w:themeColor="accent1" w:themeShade="BF"/>
          <w:sz w:val="24"/>
          <w:szCs w:val="32"/>
        </w:rPr>
      </w:pPr>
      <w:r>
        <w:rPr>
          <w:rFonts w:ascii="Times New Roman" w:hAnsi="Times New Roman"/>
          <w:b/>
          <w:sz w:val="24"/>
          <w:szCs w:val="24"/>
        </w:rPr>
        <w:t xml:space="preserve">2.4.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32"/>
        </w:rPr>
        <w:t>Um conceito de «feiras europeias do emprego local», apoiadas pela UE, para promover o emprego local</w:t>
      </w:r>
    </w:p>
    <w:p w:rsidR="00CE5349" w:rsidRPr="007D6282" w:rsidRDefault="00CE5349">
      <w:pPr>
        <w:keepNext/>
        <w:rPr>
          <w:lang w:val="en-GB"/>
        </w:rPr>
      </w:pPr>
    </w:p>
    <w:p w:rsidR="00CC2877" w:rsidRPr="003814FB" w:rsidRDefault="00394636" w:rsidP="007D6282">
      <w:r>
        <w:t xml:space="preserve">A fim de melhorar o alinhamento entre as competências e o emprego, foi acordado estudar-se as possibilidades de coorganizar feiras europeias do emprego local em toda a Europa. Salónica poderá voluntariar-se a organizar esta feira, logo que tal seja possível. Este evento poderá tornar-se um modelo para eventos semelhantes noutras regiões da UE. O CR e a DG EMPL trabalharão em conjunto no conceito e na realização deste evento, incluindo no que diz respeito à preparação, aos parceiros, ao financiamento, entre outros, a acordar separadamente. </w:t>
      </w:r>
    </w:p>
    <w:p w:rsidR="00FE1A83" w:rsidRPr="003814FB" w:rsidRDefault="00FE1A83" w:rsidP="007D6282">
      <w:pPr>
        <w:rPr>
          <w:lang w:val="en-GB"/>
        </w:rPr>
      </w:pPr>
    </w:p>
    <w:p w:rsidR="00DC5206" w:rsidRPr="007D6282" w:rsidRDefault="00455FAA" w:rsidP="007D6282">
      <w:pPr>
        <w:pStyle w:val="Heading3"/>
        <w:rPr>
          <w:rFonts w:asciiTheme="majorHAnsi" w:hAnsiTheme="majorHAnsi"/>
          <w:color w:val="365F91" w:themeColor="accent1" w:themeShade="BF"/>
        </w:rPr>
      </w:pPr>
      <w:r>
        <w:rPr>
          <w:rFonts w:ascii="Times New Roman" w:hAnsi="Times New Roman"/>
          <w:b/>
          <w:sz w:val="24"/>
          <w:szCs w:val="24"/>
        </w:rPr>
        <w:t>2.4.1.</w:t>
      </w:r>
      <w:r>
        <w:rPr>
          <w:rFonts w:ascii="Times New Roman" w:hAnsi="Times New Roman"/>
          <w:b/>
          <w:sz w:val="24"/>
          <w:szCs w:val="24"/>
        </w:rPr>
        <w:tab/>
        <w:t>O que já existe</w:t>
      </w:r>
    </w:p>
    <w:p w:rsidR="00CC2877" w:rsidRPr="003814FB" w:rsidRDefault="00CC2877">
      <w:pPr>
        <w:keepNext/>
        <w:rPr>
          <w:lang w:val="en-GB"/>
        </w:rPr>
      </w:pPr>
    </w:p>
    <w:p w:rsidR="00CC2877" w:rsidRPr="007D6282" w:rsidRDefault="00DF7306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A rede europeia de serviços de emprego (EURES) já organiza as Jornadas Europeias do Emprego que promovem a mobilidade do emprego na UE, alinhando as competências dos candidatos com as necessidades dos empregadores noutros Estados-Membros (replicar estes eventos de mobilidade não trará valor acrescentado).</w:t>
      </w:r>
    </w:p>
    <w:p w:rsidR="00CC2877" w:rsidRPr="007D6282" w:rsidRDefault="00CC2877" w:rsidP="007D6282">
      <w:pPr>
        <w:pStyle w:val="ListParagraph"/>
        <w:spacing w:after="0" w:line="288" w:lineRule="auto"/>
        <w:ind w:left="360"/>
        <w:jc w:val="both"/>
      </w:pPr>
    </w:p>
    <w:p w:rsidR="00CC2877" w:rsidRPr="007D6282" w:rsidRDefault="00501E02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Vários projetos na UE visam combater o desemprego e, além disso, existem programas nacionais com o mesmo objetivo.</w:t>
      </w:r>
    </w:p>
    <w:p w:rsidR="00CC2877" w:rsidRPr="007D6282" w:rsidRDefault="00CC2877" w:rsidP="007D6282">
      <w:pPr>
        <w:pStyle w:val="ListParagraph"/>
        <w:spacing w:after="0" w:line="288" w:lineRule="auto"/>
        <w:ind w:left="360"/>
        <w:jc w:val="both"/>
      </w:pPr>
    </w:p>
    <w:p w:rsidR="00CC2877" w:rsidRPr="007D6282" w:rsidRDefault="002867F1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O FSE é (tal como o ESF+ será) o principal instrumento para financiar estratégias locais de emprego e para promover a formação, a melhoria de competências e a requalificação.</w:t>
      </w:r>
    </w:p>
    <w:p w:rsidR="00CC2877" w:rsidRPr="007D6282" w:rsidRDefault="00CC2877" w:rsidP="007D6282">
      <w:pPr>
        <w:pStyle w:val="ListParagraph"/>
        <w:spacing w:after="0" w:line="288" w:lineRule="auto"/>
        <w:ind w:left="360"/>
        <w:jc w:val="both"/>
      </w:pPr>
    </w:p>
    <w:p w:rsidR="00CC2877" w:rsidRPr="007D6282" w:rsidRDefault="00DF7306">
      <w:pPr>
        <w:numPr>
          <w:ilvl w:val="0"/>
          <w:numId w:val="35"/>
        </w:numPr>
        <w:rPr>
          <w:rFonts w:eastAsia="Times New Roman"/>
          <w:sz w:val="24"/>
          <w:szCs w:val="24"/>
        </w:rPr>
      </w:pPr>
      <w:r>
        <w:t>O Programa da União Europeia para o Emprego e a Inovação Social (EaSI) (2014-2020) tem três eixos: a modernização da política de emprego e da política social: Eixo PROGRESS; a mobilidade profissional: Eixo EURES; e o acesso ao microfinanciamento e o empreendedorismo social: Eixo Microfinanciamento e Empreendedorismo Social. O InvestEU dará oportunidades semelhantes a partir de 2021.</w:t>
      </w:r>
    </w:p>
    <w:p w:rsidR="00FE1A83" w:rsidRDefault="00FE1A83" w:rsidP="007D6282">
      <w:pPr>
        <w:rPr>
          <w:lang w:val="en-GB"/>
        </w:rPr>
      </w:pPr>
    </w:p>
    <w:p w:rsidR="007F6A81" w:rsidRDefault="007F6A81" w:rsidP="007D6282">
      <w:pPr>
        <w:rPr>
          <w:lang w:val="en-GB"/>
        </w:rPr>
      </w:pPr>
    </w:p>
    <w:p w:rsidR="007F6A81" w:rsidRDefault="007F6A81" w:rsidP="007D6282">
      <w:pPr>
        <w:rPr>
          <w:lang w:val="en-GB"/>
        </w:rPr>
      </w:pPr>
    </w:p>
    <w:p w:rsidR="007F6A81" w:rsidRPr="007D6282" w:rsidRDefault="007F6A81" w:rsidP="007D6282">
      <w:pPr>
        <w:rPr>
          <w:lang w:val="en-GB"/>
        </w:rPr>
      </w:pPr>
    </w:p>
    <w:p w:rsidR="00CC2877" w:rsidRPr="007D6282" w:rsidRDefault="00455FAA" w:rsidP="007D6282">
      <w:pPr>
        <w:pStyle w:val="Heading3"/>
        <w:rPr>
          <w:rFonts w:asciiTheme="majorHAnsi" w:eastAsiaTheme="majorEastAsia" w:hAnsiTheme="majorHAnsi" w:cstheme="majorBidi"/>
          <w:b/>
          <w:color w:val="365F91" w:themeColor="accent1" w:themeShade="BF"/>
          <w:sz w:val="24"/>
          <w:szCs w:val="32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2.4.2.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32"/>
        </w:rPr>
        <w:t>O valor acrescentado das feiras europeias do emprego local</w:t>
      </w:r>
    </w:p>
    <w:p w:rsidR="00CC2877" w:rsidRPr="007D6282" w:rsidRDefault="00CC2877" w:rsidP="007D6282">
      <w:pPr>
        <w:keepNext/>
        <w:rPr>
          <w:lang w:val="en-GB"/>
        </w:rPr>
      </w:pPr>
    </w:p>
    <w:p w:rsidR="00CC2877" w:rsidRPr="007D6282" w:rsidRDefault="00CC2877" w:rsidP="007D6282">
      <w:pPr>
        <w:pStyle w:val="ListParagraph"/>
        <w:spacing w:after="0" w:line="288" w:lineRule="auto"/>
        <w:ind w:left="0"/>
        <w:jc w:val="both"/>
      </w:pPr>
      <w:r>
        <w:rPr>
          <w:rFonts w:ascii="Times New Roman" w:hAnsi="Times New Roman"/>
        </w:rPr>
        <w:t>Tendo em conta as iniciativas existentes da UE e outras, o valor acrescentado específico de uma feira europeia do emprego local é:</w:t>
      </w:r>
    </w:p>
    <w:p w:rsidR="00100433" w:rsidRPr="007D6282" w:rsidRDefault="00100433" w:rsidP="007D6282">
      <w:pPr>
        <w:pStyle w:val="ListParagraph"/>
        <w:spacing w:after="0" w:line="288" w:lineRule="auto"/>
        <w:ind w:left="0"/>
        <w:jc w:val="both"/>
      </w:pPr>
    </w:p>
    <w:p w:rsidR="00100433" w:rsidRPr="007D6282" w:rsidRDefault="00100433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apresentar os serviços existentes da UE a quem procura emprego a nível local, nacional e europeu;</w:t>
      </w:r>
    </w:p>
    <w:p w:rsidR="0002399B" w:rsidRPr="007D6282" w:rsidRDefault="0002399B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apresentar novas tendências em competências e emprego aos níveis local e europeu;</w:t>
      </w:r>
    </w:p>
    <w:p w:rsidR="00100433" w:rsidRPr="007D6282" w:rsidRDefault="00100433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apresentar os regimes da UE de apoio a estratégias de emprego locais e regionais tendo em conta as atividades de programação em curso dos futuros programas do FSE;</w:t>
      </w:r>
    </w:p>
    <w:p w:rsidR="00100433" w:rsidRPr="007D6282" w:rsidRDefault="00100433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 xml:space="preserve">demonstrar as ligações entre os diversos programas e políticas da UE da perspetiva dos jovens; </w:t>
      </w:r>
    </w:p>
    <w:p w:rsidR="00C97045" w:rsidRPr="007D6282" w:rsidRDefault="00100433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criar uma base de diálogo com os cidadãos sobre a dimensão social da UE e o que esta significa para o emprego local e regional; e</w:t>
      </w:r>
    </w:p>
    <w:p w:rsidR="00100433" w:rsidRPr="007D6282" w:rsidRDefault="00C97045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apoiar o alinhamento local entre as competências e o emprego, com o apoio de financiamento da UE para eventos locais desta natureza.</w:t>
      </w:r>
    </w:p>
    <w:p w:rsidR="00FE1A83" w:rsidRPr="003814FB" w:rsidRDefault="00FE1A83">
      <w:pPr>
        <w:rPr>
          <w:lang w:val="en-GB"/>
        </w:rPr>
      </w:pPr>
    </w:p>
    <w:p w:rsidR="00F165DD" w:rsidRPr="003814FB" w:rsidRDefault="001A2D75">
      <w:r>
        <w:t>Atualmente, é importante organizar este tipo de feiras no contexto da recuperação da pandemia de COVID-19. Por conseguinte, é essencial iniciar um diálogo sobre políticas com os principais representantes dos parceiros sociais, acolhendo os membros do CR e representantes da UE a fim de debater conceitos e estratégias para dar resposta aos desafios atuais em matéria de emprego.</w:t>
      </w:r>
    </w:p>
    <w:p w:rsidR="00FE1A83" w:rsidRPr="003814FB" w:rsidRDefault="00FE1A83">
      <w:pPr>
        <w:rPr>
          <w:lang w:val="en-GB"/>
        </w:rPr>
      </w:pPr>
    </w:p>
    <w:p w:rsidR="00100433" w:rsidRPr="007D6282" w:rsidRDefault="00455FAA" w:rsidP="007D6282">
      <w:pPr>
        <w:pStyle w:val="Heading3"/>
        <w:ind w:left="709" w:hanging="709"/>
        <w:rPr>
          <w:rFonts w:asciiTheme="majorHAnsi" w:eastAsiaTheme="majorEastAsia" w:hAnsiTheme="majorHAnsi" w:cstheme="majorBidi"/>
          <w:b/>
          <w:color w:val="365F91" w:themeColor="accent1" w:themeShade="BF"/>
          <w:sz w:val="24"/>
          <w:szCs w:val="32"/>
        </w:rPr>
      </w:pPr>
      <w:r>
        <w:rPr>
          <w:rFonts w:ascii="Times New Roman" w:hAnsi="Times New Roman"/>
          <w:b/>
          <w:sz w:val="24"/>
          <w:szCs w:val="24"/>
        </w:rPr>
        <w:t>2.4.3.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32"/>
        </w:rPr>
        <w:t>Grupo-alvo das feiras europeias do emprego local</w:t>
      </w:r>
    </w:p>
    <w:p w:rsidR="0002399B" w:rsidRPr="007D6282" w:rsidRDefault="0002399B">
      <w:pPr>
        <w:keepNext/>
        <w:rPr>
          <w:lang w:val="en-GB"/>
        </w:rPr>
      </w:pPr>
    </w:p>
    <w:p w:rsidR="0002399B" w:rsidRPr="007D6282" w:rsidRDefault="0002399B" w:rsidP="007D6282">
      <w:r>
        <w:t>O grupo-alvo das feiras europeias do emprego local pode incluir:</w:t>
      </w:r>
    </w:p>
    <w:p w:rsidR="0002399B" w:rsidRPr="007D6282" w:rsidRDefault="0002399B">
      <w:pPr>
        <w:rPr>
          <w:lang w:val="en-GB"/>
        </w:rPr>
      </w:pP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pessoas à procura de emprego, especialmente estudantes e recém-formados;</w:t>
      </w: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serviços públicos de emprego a nível local e regional;</w:t>
      </w: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agências de emprego, formação e requalificação;</w:t>
      </w: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parceiros sociais, estabelecimentos de ensino;</w:t>
      </w: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órgãos de poder local e regional e respetivos políticos; e</w:t>
      </w: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meios de comunicação social locais e regionais.</w:t>
      </w:r>
    </w:p>
    <w:p w:rsidR="00FE1A83" w:rsidRPr="007D6282" w:rsidRDefault="00FE1A83" w:rsidP="007D6282">
      <w:pPr>
        <w:rPr>
          <w:lang w:val="en-GB"/>
        </w:rPr>
      </w:pPr>
    </w:p>
    <w:p w:rsidR="0002399B" w:rsidRPr="007D6282" w:rsidRDefault="00455FAA" w:rsidP="007D6282">
      <w:pPr>
        <w:pStyle w:val="Heading3"/>
        <w:tabs>
          <w:tab w:val="left" w:pos="567"/>
        </w:tabs>
        <w:rPr>
          <w:rFonts w:asciiTheme="majorHAnsi" w:hAnsiTheme="majorHAnsi"/>
          <w:color w:val="365F91" w:themeColor="accent1" w:themeShade="BF"/>
        </w:rPr>
      </w:pPr>
      <w:r>
        <w:rPr>
          <w:rFonts w:ascii="Times New Roman" w:hAnsi="Times New Roman"/>
          <w:b/>
          <w:sz w:val="24"/>
          <w:szCs w:val="24"/>
        </w:rPr>
        <w:t>2.4.4.</w:t>
      </w:r>
      <w:r>
        <w:rPr>
          <w:rFonts w:ascii="Times New Roman" w:hAnsi="Times New Roman"/>
          <w:b/>
          <w:sz w:val="24"/>
          <w:szCs w:val="24"/>
        </w:rPr>
        <w:tab/>
        <w:t>Possíveis parceiros e implementação</w:t>
      </w:r>
    </w:p>
    <w:p w:rsidR="0002399B" w:rsidRPr="007D6282" w:rsidRDefault="0002399B" w:rsidP="007D6282">
      <w:pPr>
        <w:keepNext/>
        <w:rPr>
          <w:lang w:val="en-GB"/>
        </w:rPr>
      </w:pPr>
    </w:p>
    <w:p w:rsidR="0002399B" w:rsidRPr="007D6282" w:rsidRDefault="00E0617C">
      <w:r>
        <w:t>Uma feira europeia do emprego local terá maior sucesso se incluir desde o início os parceiros certos, a fim de assegurar um contributo pertinente. Podem incluir-se os seguintes parceiros:</w:t>
      </w:r>
    </w:p>
    <w:p w:rsidR="0002399B" w:rsidRPr="007D6282" w:rsidRDefault="0002399B">
      <w:pPr>
        <w:rPr>
          <w:lang w:val="en-GB"/>
        </w:rPr>
      </w:pPr>
    </w:p>
    <w:p w:rsidR="0002399B" w:rsidRPr="007D6282" w:rsidRDefault="00E0617C" w:rsidP="007D6282">
      <w:pPr>
        <w:pStyle w:val="ListParagraph"/>
        <w:numPr>
          <w:ilvl w:val="0"/>
          <w:numId w:val="40"/>
        </w:numPr>
        <w:spacing w:after="0" w:line="288" w:lineRule="auto"/>
        <w:jc w:val="both"/>
      </w:pPr>
      <w:r>
        <w:rPr>
          <w:rFonts w:ascii="Times New Roman" w:hAnsi="Times New Roman"/>
          <w:u w:val="single"/>
        </w:rPr>
        <w:t>Ao nível local</w:t>
      </w:r>
      <w:r>
        <w:rPr>
          <w:rFonts w:ascii="Times New Roman" w:hAnsi="Times New Roman"/>
        </w:rPr>
        <w:t>: poderes públicos, câmaras de comércio e associações de empresas, sindicatos, sociedade civil, escolas, universidades, etc.</w:t>
      </w:r>
    </w:p>
    <w:p w:rsidR="0002399B" w:rsidRPr="007D6282" w:rsidRDefault="00E0617C" w:rsidP="007D6282">
      <w:pPr>
        <w:pStyle w:val="ListParagraph"/>
        <w:numPr>
          <w:ilvl w:val="0"/>
          <w:numId w:val="40"/>
        </w:numPr>
        <w:spacing w:after="0" w:line="288" w:lineRule="auto"/>
        <w:jc w:val="both"/>
      </w:pPr>
      <w:r>
        <w:rPr>
          <w:rFonts w:ascii="Times New Roman" w:hAnsi="Times New Roman"/>
          <w:u w:val="single"/>
        </w:rPr>
        <w:lastRenderedPageBreak/>
        <w:t>Ao nível regional</w:t>
      </w:r>
      <w:r>
        <w:rPr>
          <w:rFonts w:ascii="Times New Roman" w:hAnsi="Times New Roman"/>
        </w:rPr>
        <w:t>: autoridade de gestão do FSE, serviços de emprego, ministérios regionais, associações de empresas regionais, universidades, etc.</w:t>
      </w:r>
    </w:p>
    <w:p w:rsidR="0002399B" w:rsidRPr="007D6282" w:rsidRDefault="00E0617C" w:rsidP="007D6282">
      <w:pPr>
        <w:pStyle w:val="ListParagraph"/>
        <w:numPr>
          <w:ilvl w:val="0"/>
          <w:numId w:val="40"/>
        </w:numPr>
        <w:spacing w:after="0" w:line="288" w:lineRule="auto"/>
        <w:jc w:val="both"/>
      </w:pPr>
      <w:r>
        <w:rPr>
          <w:rFonts w:ascii="Times New Roman" w:hAnsi="Times New Roman"/>
          <w:u w:val="single"/>
        </w:rPr>
        <w:t>Ao nível nacional</w:t>
      </w:r>
      <w:r>
        <w:rPr>
          <w:rFonts w:ascii="Times New Roman" w:hAnsi="Times New Roman"/>
        </w:rPr>
        <w:t>: ministérios nacionais, associações do setor social, associações empresariais, associações de formação, associações universitárias, etc.</w:t>
      </w:r>
    </w:p>
    <w:p w:rsidR="00256F0C" w:rsidRPr="007D6282" w:rsidRDefault="00E0617C" w:rsidP="007D6282">
      <w:pPr>
        <w:pStyle w:val="ListParagraph"/>
        <w:numPr>
          <w:ilvl w:val="0"/>
          <w:numId w:val="40"/>
        </w:numPr>
        <w:spacing w:after="0" w:line="288" w:lineRule="auto"/>
        <w:jc w:val="both"/>
      </w:pPr>
      <w:r>
        <w:rPr>
          <w:rFonts w:ascii="Times New Roman" w:hAnsi="Times New Roman"/>
          <w:u w:val="single"/>
        </w:rPr>
        <w:t>Ao nível da UE</w:t>
      </w:r>
      <w:r>
        <w:rPr>
          <w:rFonts w:ascii="Times New Roman" w:hAnsi="Times New Roman"/>
        </w:rPr>
        <w:t xml:space="preserve">: Comissão Europeia (liderada pela DG EMPL; </w:t>
      </w:r>
      <w:r>
        <w:rPr>
          <w:rFonts w:ascii="Times New Roman" w:hAnsi="Times New Roman"/>
          <w:i/>
        </w:rPr>
        <w:t xml:space="preserve">outros serviços e DG que podem ser convidados são, nomeadamente a </w:t>
      </w:r>
      <w:r>
        <w:rPr>
          <w:rFonts w:ascii="Times New Roman" w:hAnsi="Times New Roman"/>
        </w:rPr>
        <w:t>DG EAC, a DG REGIO, a DG REFORM, o JRC), agências da UE (AET, Cedefop, Eurofound); membros do CR; eurodeputados; parceiros sociais.</w:t>
      </w:r>
    </w:p>
    <w:p w:rsidR="00FE1A83" w:rsidRPr="003814FB" w:rsidRDefault="00FE1A83">
      <w:pPr>
        <w:rPr>
          <w:lang w:val="en-GB"/>
        </w:rPr>
      </w:pPr>
    </w:p>
    <w:p w:rsidR="00834904" w:rsidRPr="003814FB" w:rsidRDefault="00834904">
      <w:r>
        <w:t xml:space="preserve">Uma vez que a pandemia atual de COVID-19 impossibilita por enquanto a organização de feiras presenciais, pode considerar-se a organização de eventos como as </w:t>
      </w:r>
      <w:hyperlink r:id="rId14" w:history="1">
        <w:r>
          <w:t>Jornadas Europeias do Emprego Em Linha</w:t>
        </w:r>
      </w:hyperlink>
      <w:r>
        <w:t>, mediante acordo e com a participação do respetivo gabinete nacional de coordenação da EURES.</w:t>
      </w:r>
    </w:p>
    <w:p w:rsidR="003E0FE7" w:rsidRPr="003814FB" w:rsidRDefault="003E0FE7">
      <w:pPr>
        <w:rPr>
          <w:lang w:val="en-GB"/>
        </w:rPr>
      </w:pPr>
    </w:p>
    <w:p w:rsidR="00E6624D" w:rsidRPr="003814FB" w:rsidRDefault="00E6624D">
      <w:r>
        <w:t>As funções e responsabilidades dos organizadores e parceiros serão definidos em acordos separados.</w:t>
      </w:r>
    </w:p>
    <w:p w:rsidR="00F165DD" w:rsidRPr="007D6282" w:rsidRDefault="00F165DD">
      <w:pPr>
        <w:rPr>
          <w:sz w:val="24"/>
          <w:lang w:val="en-GB"/>
        </w:rPr>
      </w:pPr>
    </w:p>
    <w:p w:rsidR="001A2D75" w:rsidRPr="007D6282" w:rsidRDefault="001A2D75" w:rsidP="007D6282">
      <w:pPr>
        <w:pStyle w:val="ListParagraph"/>
        <w:keepNext/>
        <w:numPr>
          <w:ilvl w:val="2"/>
          <w:numId w:val="22"/>
        </w:numPr>
        <w:spacing w:after="0" w:line="288" w:lineRule="auto"/>
        <w:rPr>
          <w:b/>
          <w:sz w:val="24"/>
        </w:rPr>
      </w:pPr>
      <w:r>
        <w:rPr>
          <w:rFonts w:ascii="Times New Roman" w:hAnsi="Times New Roman"/>
          <w:b/>
          <w:sz w:val="24"/>
        </w:rPr>
        <w:t>Financiamento e outros apoios</w:t>
      </w:r>
    </w:p>
    <w:p w:rsidR="001A2D75" w:rsidRPr="003814FB" w:rsidRDefault="001A2D75" w:rsidP="007D6282">
      <w:pPr>
        <w:keepNext/>
        <w:rPr>
          <w:lang w:val="en-GB"/>
        </w:rPr>
      </w:pPr>
    </w:p>
    <w:p w:rsidR="006C7232" w:rsidRPr="007D6282" w:rsidRDefault="001A2D75">
      <w:r>
        <w:t>As feiras europeias do emprego local organizadas por membros do CR podem ser financiadas pela UE. O Comité das Regiões e a DG EMPL analisarão conjuntamente as opções adequadas de apoio financeiro para esses eventos.</w:t>
      </w:r>
    </w:p>
    <w:p w:rsidR="001A2D75" w:rsidRPr="007D6282" w:rsidRDefault="001A2D75">
      <w:pPr>
        <w:rPr>
          <w:lang w:val="en-GB"/>
        </w:rPr>
      </w:pPr>
    </w:p>
    <w:p w:rsidR="001A2D75" w:rsidRPr="007D6282" w:rsidRDefault="008D4711">
      <w:r>
        <w:t>Outros tipos de apoio podem incluir:</w:t>
      </w:r>
    </w:p>
    <w:p w:rsidR="001A2D75" w:rsidRPr="007D6282" w:rsidRDefault="001A2D75">
      <w:pPr>
        <w:rPr>
          <w:lang w:val="en-GB"/>
        </w:rPr>
      </w:pPr>
    </w:p>
    <w:p w:rsidR="001A2D75" w:rsidRPr="007D6282" w:rsidRDefault="001A2D75" w:rsidP="007D6282">
      <w:pPr>
        <w:pStyle w:val="ListParagraph"/>
        <w:numPr>
          <w:ilvl w:val="0"/>
          <w:numId w:val="41"/>
        </w:numPr>
        <w:spacing w:after="0" w:line="288" w:lineRule="auto"/>
        <w:jc w:val="both"/>
      </w:pPr>
      <w:r>
        <w:rPr>
          <w:rFonts w:ascii="Times New Roman" w:hAnsi="Times New Roman"/>
        </w:rPr>
        <w:t>o compromisso dos parceiros da UE de participar ativamente nas feiras (envio de especialistas e delegados);</w:t>
      </w:r>
    </w:p>
    <w:p w:rsidR="001A2D75" w:rsidRPr="007D6282" w:rsidRDefault="001A2D75" w:rsidP="007D6282">
      <w:pPr>
        <w:pStyle w:val="ListParagraph"/>
        <w:numPr>
          <w:ilvl w:val="0"/>
          <w:numId w:val="41"/>
        </w:numPr>
        <w:spacing w:after="0" w:line="288" w:lineRule="auto"/>
        <w:jc w:val="both"/>
      </w:pPr>
      <w:r>
        <w:rPr>
          <w:rFonts w:ascii="Times New Roman" w:hAnsi="Times New Roman"/>
        </w:rPr>
        <w:t>o compromisso dos parceiros da UE de preparar materiais informativos adequados para o evento; e</w:t>
      </w:r>
    </w:p>
    <w:p w:rsidR="001A2D75" w:rsidRPr="007D6282" w:rsidRDefault="001A2D75" w:rsidP="007D6282">
      <w:pPr>
        <w:pStyle w:val="ListParagraph"/>
        <w:numPr>
          <w:ilvl w:val="0"/>
          <w:numId w:val="41"/>
        </w:numPr>
        <w:spacing w:after="0" w:line="288" w:lineRule="auto"/>
        <w:jc w:val="both"/>
      </w:pPr>
      <w:r>
        <w:rPr>
          <w:rFonts w:ascii="Times New Roman" w:hAnsi="Times New Roman"/>
        </w:rPr>
        <w:t>o compromisso, sempre que exequível, de uma representação de alto nível, como o comissário ou um dirigente da DG EMPL na feira.</w:t>
      </w:r>
    </w:p>
    <w:p w:rsidR="007A1EBE" w:rsidRPr="007D6282" w:rsidRDefault="007A1EBE" w:rsidP="007D6282">
      <w:pPr>
        <w:rPr>
          <w:lang w:val="en-GB"/>
        </w:rPr>
      </w:pPr>
    </w:p>
    <w:p w:rsidR="00E01D16" w:rsidRPr="007D6282" w:rsidRDefault="008C4469" w:rsidP="007D6282">
      <w:pPr>
        <w:pStyle w:val="Heading1"/>
        <w:spacing w:before="0"/>
        <w:ind w:left="567" w:hanging="567"/>
        <w:rPr>
          <w:b/>
          <w:sz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 xml:space="preserve">3. </w:t>
      </w:r>
      <w:r>
        <w:rPr>
          <w:rFonts w:ascii="Times New Roman" w:hAnsi="Times New Roman"/>
          <w:b/>
          <w:color w:val="auto"/>
          <w:sz w:val="24"/>
          <w:szCs w:val="24"/>
        </w:rPr>
        <w:tab/>
      </w:r>
      <w:r>
        <w:rPr>
          <w:rFonts w:ascii="Times New Roman" w:hAnsi="Times New Roman"/>
          <w:b/>
          <w:color w:val="auto"/>
          <w:sz w:val="24"/>
        </w:rPr>
        <w:t>Outras possibilidades de cooperação e domínios de intervenção</w:t>
      </w:r>
    </w:p>
    <w:p w:rsidR="00E01D16" w:rsidRPr="007D6282" w:rsidRDefault="00E01D16">
      <w:pPr>
        <w:rPr>
          <w:rFonts w:eastAsiaTheme="majorEastAsia"/>
          <w:lang w:val="en-GB"/>
        </w:rPr>
      </w:pPr>
    </w:p>
    <w:p w:rsidR="00E01D16" w:rsidRPr="007D6282" w:rsidRDefault="00E01D16" w:rsidP="007D6282">
      <w:pPr>
        <w:spacing w:after="0"/>
        <w:rPr>
          <w:bCs/>
        </w:rPr>
      </w:pPr>
      <w:r>
        <w:t xml:space="preserve">Atualmente, a agenda da DG EMPL inclui muitas outras iniciativas, nomeadamente: </w:t>
      </w:r>
    </w:p>
    <w:p w:rsidR="007A1EBE" w:rsidRPr="007D6282" w:rsidRDefault="007A1EBE" w:rsidP="007D6282">
      <w:pPr>
        <w:spacing w:after="0"/>
        <w:rPr>
          <w:bCs/>
          <w:lang w:val="en-GB"/>
        </w:rPr>
      </w:pPr>
    </w:p>
    <w:p w:rsidR="00457987" w:rsidRPr="007D6282" w:rsidRDefault="007A1EBE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o Plano de Ação para a Economia Social, previsto para 2021. A cooperação pode explorar atividades nas áreas da inclusão social, criação de emprego, setor dos cuidados (acolhimento na primeira infância e cuidados de idosos), outros serviços sociais, bem como da inovação social na economia social aos níveis regional e inter-regional;</w:t>
      </w:r>
    </w:p>
    <w:p w:rsidR="00E01D16" w:rsidRPr="007D6282" w:rsidRDefault="007A1EBE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salários mínimos adequados para trabalhadores na União Europeia, para o qual a Comissão propôs uma diretiva em 28 de outubro de 2020;</w:t>
      </w:r>
    </w:p>
    <w:p w:rsidR="00E01D16" w:rsidRPr="007D6282" w:rsidRDefault="007A1EBE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lastRenderedPageBreak/>
        <w:t>as condições de trabalho dos trabalhadores sazonais, para as quais a Comissão emitiu orientações em 2020; e</w:t>
      </w:r>
    </w:p>
    <w:p w:rsidR="00E01D16" w:rsidRPr="007D6282" w:rsidRDefault="007A1EBE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aspetos das alterações demográficas que se enquadram na responsabilidade da DG EMPL.</w:t>
      </w:r>
    </w:p>
    <w:p w:rsidR="007A1EBE" w:rsidRPr="007D6282" w:rsidRDefault="007A1EBE">
      <w:pPr>
        <w:rPr>
          <w:lang w:val="en-GB"/>
        </w:rPr>
      </w:pPr>
    </w:p>
    <w:p w:rsidR="00E01D16" w:rsidRPr="007D6282" w:rsidRDefault="00E01D16">
      <w:r>
        <w:t>O CR procurará aumentar a consulta dos órgãos de poder local e regional, no intuito de contribuir para estas áreas de trabalho fundamentais. Por sua vez, o CR e a DG EMPL procurarão intensificar as trocas de ideias sobre estes temas.</w:t>
      </w:r>
    </w:p>
    <w:p w:rsidR="00E01D16" w:rsidRPr="007D6282" w:rsidRDefault="00E01D16">
      <w:pPr>
        <w:rPr>
          <w:lang w:val="en-GB"/>
        </w:rPr>
      </w:pPr>
    </w:p>
    <w:p w:rsidR="003E36A3" w:rsidRPr="007D6282" w:rsidRDefault="003E36A3">
      <w:r>
        <w:t>A fim de reforçar a cooperação entre o CR e a DG EMPL, podem perspetivar-se as seguintes medidas adicionais:</w:t>
      </w:r>
    </w:p>
    <w:p w:rsidR="005B2DC3" w:rsidRPr="007D6282" w:rsidRDefault="005B2DC3">
      <w:pPr>
        <w:rPr>
          <w:lang w:val="en-GB"/>
        </w:rPr>
      </w:pPr>
    </w:p>
    <w:p w:rsidR="003E36A3" w:rsidRPr="007D6282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</w:pPr>
      <w:r>
        <w:rPr>
          <w:rFonts w:ascii="Times New Roman" w:hAnsi="Times New Roman"/>
        </w:rPr>
        <w:t>um diálogo político regular, nas reuniões plenárias do CR e nas reuniões da Comissão SEDEC;</w:t>
      </w:r>
    </w:p>
    <w:p w:rsidR="003E36A3" w:rsidRPr="007D6282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</w:pPr>
      <w:r>
        <w:rPr>
          <w:rFonts w:ascii="Times New Roman" w:hAnsi="Times New Roman"/>
        </w:rPr>
        <w:t>a eventual participação dos relatores e dos membros do CR em conferências e eventos organizados pela DG EMPL, aos quais a perspetiva local e regional traz valor acrescentado;</w:t>
      </w:r>
    </w:p>
    <w:p w:rsidR="003E36A3" w:rsidRPr="007D6282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</w:pPr>
      <w:r>
        <w:rPr>
          <w:rFonts w:ascii="Times New Roman" w:hAnsi="Times New Roman"/>
        </w:rPr>
        <w:t>mediante pedido, a prestação de informações aos membros do CR sobre o financiamento e o apoio estratégico que a UE pode oferecer, a fim de mostrar o modo como a União pode ajudar as regiões e os municípios nas transições ecológica e digital;</w:t>
      </w:r>
    </w:p>
    <w:p w:rsidR="002E7C63" w:rsidRPr="007D6282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</w:pPr>
      <w:r>
        <w:rPr>
          <w:rFonts w:ascii="Times New Roman" w:hAnsi="Times New Roman"/>
        </w:rPr>
        <w:t>a exploração de medidas de comunicação conjunta, se for pertinente; e</w:t>
      </w:r>
    </w:p>
    <w:p w:rsidR="006D7CA9" w:rsidRPr="007D6282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</w:pPr>
      <w:r>
        <w:rPr>
          <w:rFonts w:ascii="Times New Roman" w:hAnsi="Times New Roman"/>
        </w:rPr>
        <w:t>a exploração de sinergias com iniciativas de outras DG, como a parceria da Plataforma de Estratégia de Especialização Inteligente (S3) sobre Modernização Industrial em matéria de Economia Social (</w:t>
      </w:r>
      <w:hyperlink r:id="rId15" w:history="1">
        <w:r>
          <w:rPr>
            <w:rStyle w:val="Hyperlink"/>
            <w:rFonts w:ascii="Times New Roman" w:hAnsi="Times New Roman"/>
          </w:rPr>
          <w:t>https://s3platform.jrc.ec.europa.eu/social-economy</w:t>
        </w:r>
      </w:hyperlink>
      <w:r>
        <w:rPr>
          <w:rFonts w:ascii="Times New Roman" w:hAnsi="Times New Roman"/>
        </w:rPr>
        <w:t>).</w:t>
      </w:r>
    </w:p>
    <w:p w:rsidR="006D7CA9" w:rsidRPr="007D6282" w:rsidRDefault="006D7CA9">
      <w:pPr>
        <w:rPr>
          <w:lang w:val="en-GB"/>
        </w:rPr>
      </w:pPr>
    </w:p>
    <w:p w:rsidR="006D7CA9" w:rsidRPr="007D6282" w:rsidRDefault="0068468C" w:rsidP="007D6282">
      <w:pPr>
        <w:pStyle w:val="Heading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4.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ab/>
        <w:t>Próximas etapas:</w:t>
      </w:r>
    </w:p>
    <w:p w:rsidR="006D7CA9" w:rsidRPr="007D6282" w:rsidRDefault="006D7CA9" w:rsidP="007D6282">
      <w:pPr>
        <w:keepNext/>
        <w:rPr>
          <w:lang w:val="en-GB"/>
        </w:rPr>
      </w:pPr>
    </w:p>
    <w:p w:rsidR="000F448C" w:rsidRPr="003814FB" w:rsidRDefault="00DC0DF4" w:rsidP="007D6282">
      <w:pPr>
        <w:jc w:val="both"/>
      </w:pPr>
      <w:r>
        <w:t>Tanto a DG EMPL como o CR designarão pessoas de contacto para definir os detalhes do conceito e as modalidades para realizar as feiras europeias do emprego local e assegurar uma cooperação e coordenação eficaz das ações ao nível administrativo.</w:t>
      </w:r>
    </w:p>
    <w:sectPr w:rsidR="000F448C" w:rsidRPr="003814FB" w:rsidSect="003831AE">
      <w:footerReference w:type="default" r:id="rId16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8C63B" w16cex:dateUtc="2020-08-20T07:51:00Z"/>
  <w16cex:commentExtensible w16cex:durableId="22E8C6C8" w16cex:dateUtc="2020-08-20T07:54:00Z"/>
  <w16cex:commentExtensible w16cex:durableId="22E8C78A" w16cex:dateUtc="2020-08-20T07:57:00Z"/>
  <w16cex:commentExtensible w16cex:durableId="22E8CDF2" w16cex:dateUtc="2020-08-20T08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6440FE8" w16cid:durableId="22E8C63B"/>
  <w16cid:commentId w16cid:paraId="7CC3FC94" w16cid:durableId="22E8C6C8"/>
  <w16cid:commentId w16cid:paraId="1E5534BC" w16cid:durableId="22ED245B"/>
  <w16cid:commentId w16cid:paraId="1847A8FA" w16cid:durableId="22E8C78A"/>
  <w16cid:commentId w16cid:paraId="69CE8917" w16cid:durableId="22E771BD"/>
  <w16cid:commentId w16cid:paraId="29D3282F" w16cid:durableId="22E8CD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784" w:rsidRDefault="00683784" w:rsidP="007E71D2">
      <w:pPr>
        <w:spacing w:line="240" w:lineRule="auto"/>
      </w:pPr>
      <w:r>
        <w:separator/>
      </w:r>
    </w:p>
  </w:endnote>
  <w:endnote w:type="continuationSeparator" w:id="0">
    <w:p w:rsidR="00683784" w:rsidRDefault="00683784" w:rsidP="007E71D2">
      <w:pPr>
        <w:spacing w:line="240" w:lineRule="auto"/>
      </w:pPr>
      <w:r>
        <w:continuationSeparator/>
      </w:r>
    </w:p>
  </w:endnote>
  <w:endnote w:type="continuationNotice" w:id="1">
    <w:p w:rsidR="00683784" w:rsidRDefault="0068378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40223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2F01" w:rsidRDefault="00EB2F01" w:rsidP="007D62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168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784" w:rsidRDefault="00683784" w:rsidP="007E71D2">
      <w:pPr>
        <w:spacing w:line="240" w:lineRule="auto"/>
      </w:pPr>
      <w:r>
        <w:separator/>
      </w:r>
    </w:p>
  </w:footnote>
  <w:footnote w:type="continuationSeparator" w:id="0">
    <w:p w:rsidR="00683784" w:rsidRDefault="00683784" w:rsidP="007E71D2">
      <w:pPr>
        <w:spacing w:line="240" w:lineRule="auto"/>
      </w:pPr>
      <w:r>
        <w:continuationSeparator/>
      </w:r>
    </w:p>
  </w:footnote>
  <w:footnote w:type="continuationNotice" w:id="1">
    <w:p w:rsidR="00683784" w:rsidRDefault="00683784">
      <w:pPr>
        <w:spacing w:line="240" w:lineRule="auto"/>
      </w:pPr>
    </w:p>
  </w:footnote>
  <w:footnote w:id="2">
    <w:p w:rsidR="00EB2F01" w:rsidRPr="007D6282" w:rsidRDefault="00EB2F01" w:rsidP="00C82EBC">
      <w:pPr>
        <w:pStyle w:val="FootnoteText"/>
        <w:tabs>
          <w:tab w:val="left" w:pos="567"/>
        </w:tabs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t xml:space="preserve"> </w:t>
      </w:r>
      <w:r>
        <w:tab/>
      </w:r>
      <w:hyperlink r:id="rId1" w:history="1">
        <w:r>
          <w:rPr>
            <w:rStyle w:val="Hyperlink"/>
            <w:sz w:val="16"/>
            <w:szCs w:val="16"/>
          </w:rPr>
          <w:t>https://ec.europa.eu/commission/sites/beta-political/files/reflection-paper-social-dimension-europe_pt.pdf</w:t>
        </w:r>
      </w:hyperlink>
    </w:p>
  </w:footnote>
  <w:footnote w:id="3">
    <w:p w:rsidR="00EB2F01" w:rsidRPr="007D6282" w:rsidRDefault="00EB2F01" w:rsidP="007D6282">
      <w:pPr>
        <w:pStyle w:val="FootnoteText"/>
        <w:tabs>
          <w:tab w:val="left" w:pos="567"/>
        </w:tabs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t xml:space="preserve"> </w:t>
      </w:r>
      <w:r>
        <w:tab/>
      </w:r>
      <w:hyperlink r:id="rId2" w:history="1">
        <w:r>
          <w:rPr>
            <w:rStyle w:val="Hyperlink"/>
            <w:sz w:val="16"/>
            <w:szCs w:val="16"/>
          </w:rPr>
          <w:t>https://eur-lex.europa.eu/LexUriServ/LexUriServ.do?uri=OJ:C:2012:102:0006:0010:PT:PDF</w:t>
        </w:r>
      </w:hyperlink>
    </w:p>
  </w:footnote>
  <w:footnote w:id="4">
    <w:p w:rsidR="00EB2F01" w:rsidRPr="007D6282" w:rsidRDefault="00EB2F01" w:rsidP="007D6282">
      <w:pPr>
        <w:pStyle w:val="FootnoteText"/>
        <w:tabs>
          <w:tab w:val="left" w:pos="567"/>
        </w:tabs>
        <w:ind w:left="567" w:hanging="567"/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>COM(2020) 447 final.</w:t>
      </w:r>
    </w:p>
  </w:footnote>
  <w:footnote w:id="5">
    <w:p w:rsidR="00EB2F01" w:rsidRPr="007D6282" w:rsidRDefault="00EB2F01" w:rsidP="007D6282">
      <w:pPr>
        <w:pStyle w:val="FootnoteText"/>
        <w:tabs>
          <w:tab w:val="left" w:pos="567"/>
        </w:tabs>
        <w:ind w:left="567" w:hanging="567"/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rPr>
          <w:rStyle w:val="FootnoteReference"/>
          <w:sz w:val="24"/>
          <w:szCs w:val="24"/>
        </w:rPr>
        <w:t xml:space="preserve"> </w:t>
      </w:r>
      <w:r>
        <w:rPr>
          <w:sz w:val="16"/>
          <w:szCs w:val="16"/>
        </w:rPr>
        <w:tab/>
        <w:t>Na Comunicação – Apoio ao emprego dos jovens: uma ponte para o emprego da próxima geração (COM(2020) 276 final), a Comissão instou os Estados-Membros a intensificarem o seu apoio ao emprego dos jovens e a aumentarem o nível consagrado a este objetivo em relação ao período de financiamento 2014-2020, que se estima ascender a 22 mil milhões de euros.</w:t>
      </w:r>
    </w:p>
  </w:footnote>
  <w:footnote w:id="6">
    <w:p w:rsidR="00EB2F01" w:rsidRPr="007D6282" w:rsidRDefault="00EB2F01" w:rsidP="007D6282">
      <w:pPr>
        <w:pStyle w:val="FootnoteText"/>
        <w:tabs>
          <w:tab w:val="left" w:pos="567"/>
        </w:tabs>
        <w:ind w:left="567" w:hanging="567"/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>A Recomendação do Conselho relativa a «Uma ponte para o emprego – Reforçar a Garantia para a Juventude» foi acordada a nível político no Conselho e será adotada até ao final de 2020.</w:t>
      </w:r>
    </w:p>
  </w:footnote>
  <w:footnote w:id="7">
    <w:p w:rsidR="00EB2F01" w:rsidRPr="007D6282" w:rsidRDefault="00EB2F01" w:rsidP="007D6282">
      <w:pPr>
        <w:pStyle w:val="FootnoteText"/>
        <w:tabs>
          <w:tab w:val="left" w:pos="567"/>
        </w:tabs>
        <w:ind w:left="567" w:hanging="567"/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 xml:space="preserve">COM(2020) 276 final. </w:t>
      </w:r>
    </w:p>
  </w:footnote>
  <w:footnote w:id="8">
    <w:p w:rsidR="002867F1" w:rsidRPr="007D6282" w:rsidRDefault="002867F1">
      <w:pPr>
        <w:pStyle w:val="FootnoteText"/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t xml:space="preserve"> </w:t>
      </w:r>
      <w:r>
        <w:tab/>
      </w:r>
      <w:r>
        <w:rPr>
          <w:sz w:val="16"/>
          <w:szCs w:val="16"/>
        </w:rPr>
        <w:t>COM(2020) 274 final.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41C97EA"/>
    <w:lvl w:ilvl="0">
      <w:start w:val="1"/>
      <w:numFmt w:val="decimal"/>
      <w:lvlText w:val="%1."/>
      <w:legacy w:legacy="1" w:legacySpace="0" w:legacyIndent="0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egacy w:legacy="1" w:legacySpace="144" w:legacyIndent="0"/>
      <w:lvlJc w:val="left"/>
      <w:rPr>
        <w:b w:val="0"/>
      </w:rPr>
    </w:lvl>
    <w:lvl w:ilvl="2">
      <w:start w:val="1"/>
      <w:numFmt w:val="decimal"/>
      <w:lvlText w:val="%1.%2.%3"/>
      <w:legacy w:legacy="1" w:legacySpace="144" w:legacyIndent="0"/>
      <w:lvlJc w:val="left"/>
      <w:rPr>
        <w:b w:val="0"/>
      </w:rPr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575010D"/>
    <w:multiLevelType w:val="hybridMultilevel"/>
    <w:tmpl w:val="E924CD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E26D84"/>
    <w:multiLevelType w:val="hybridMultilevel"/>
    <w:tmpl w:val="3C9A2C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E10D59"/>
    <w:multiLevelType w:val="hybridMultilevel"/>
    <w:tmpl w:val="A8204F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360DF6"/>
    <w:multiLevelType w:val="hybridMultilevel"/>
    <w:tmpl w:val="DEACEA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37C1B"/>
    <w:multiLevelType w:val="hybridMultilevel"/>
    <w:tmpl w:val="DE224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4794F"/>
    <w:multiLevelType w:val="hybridMultilevel"/>
    <w:tmpl w:val="2F448F7A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6AF6D72"/>
    <w:multiLevelType w:val="hybridMultilevel"/>
    <w:tmpl w:val="0156BE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2E3ADF"/>
    <w:multiLevelType w:val="hybridMultilevel"/>
    <w:tmpl w:val="988469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A2E0E"/>
    <w:multiLevelType w:val="hybridMultilevel"/>
    <w:tmpl w:val="077EC1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FB3D22"/>
    <w:multiLevelType w:val="hybridMultilevel"/>
    <w:tmpl w:val="C8C49C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0A0A3A"/>
    <w:multiLevelType w:val="hybridMultilevel"/>
    <w:tmpl w:val="19C28C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5706E"/>
    <w:multiLevelType w:val="hybridMultilevel"/>
    <w:tmpl w:val="2D3CA368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DF3DB0"/>
    <w:multiLevelType w:val="hybridMultilevel"/>
    <w:tmpl w:val="B4328B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727B0"/>
    <w:multiLevelType w:val="hybridMultilevel"/>
    <w:tmpl w:val="67E07D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4864EC"/>
    <w:multiLevelType w:val="hybridMultilevel"/>
    <w:tmpl w:val="150CDCA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0D35B15"/>
    <w:multiLevelType w:val="hybridMultilevel"/>
    <w:tmpl w:val="FC4476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9C1308"/>
    <w:multiLevelType w:val="hybridMultilevel"/>
    <w:tmpl w:val="D716FD64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819A8"/>
    <w:multiLevelType w:val="hybridMultilevel"/>
    <w:tmpl w:val="D310C6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A2403"/>
    <w:multiLevelType w:val="hybridMultilevel"/>
    <w:tmpl w:val="8A4296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9E1247"/>
    <w:multiLevelType w:val="hybridMultilevel"/>
    <w:tmpl w:val="1F4C3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414E37"/>
    <w:multiLevelType w:val="hybridMultilevel"/>
    <w:tmpl w:val="2C5C0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36E80"/>
    <w:multiLevelType w:val="hybridMultilevel"/>
    <w:tmpl w:val="0E66A7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3CE6A304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351A38"/>
    <w:multiLevelType w:val="hybridMultilevel"/>
    <w:tmpl w:val="3162C3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5E14A5"/>
    <w:multiLevelType w:val="hybridMultilevel"/>
    <w:tmpl w:val="5CC67A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77317D"/>
    <w:multiLevelType w:val="hybridMultilevel"/>
    <w:tmpl w:val="6A885AB2"/>
    <w:lvl w:ilvl="0" w:tplc="3F1A2BB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161A9"/>
    <w:multiLevelType w:val="hybridMultilevel"/>
    <w:tmpl w:val="9EE40B06"/>
    <w:lvl w:ilvl="0" w:tplc="222075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E36C4"/>
    <w:multiLevelType w:val="hybridMultilevel"/>
    <w:tmpl w:val="8B62B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14D7F"/>
    <w:multiLevelType w:val="hybridMultilevel"/>
    <w:tmpl w:val="7F2E71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7E2FCA"/>
    <w:multiLevelType w:val="hybridMultilevel"/>
    <w:tmpl w:val="3446B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70112"/>
    <w:multiLevelType w:val="hybridMultilevel"/>
    <w:tmpl w:val="93C8C5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ED3DA0"/>
    <w:multiLevelType w:val="hybridMultilevel"/>
    <w:tmpl w:val="CC3257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207D62"/>
    <w:multiLevelType w:val="hybridMultilevel"/>
    <w:tmpl w:val="BF525C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825AC9"/>
    <w:multiLevelType w:val="hybridMultilevel"/>
    <w:tmpl w:val="2744D9E4"/>
    <w:lvl w:ilvl="0" w:tplc="222075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FA460E"/>
    <w:multiLevelType w:val="multilevel"/>
    <w:tmpl w:val="C150B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570" w:hanging="57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891A7C"/>
    <w:multiLevelType w:val="hybridMultilevel"/>
    <w:tmpl w:val="67280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D15C8B"/>
    <w:multiLevelType w:val="hybridMultilevel"/>
    <w:tmpl w:val="3540373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D84E72"/>
    <w:multiLevelType w:val="hybridMultilevel"/>
    <w:tmpl w:val="6D82B1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A266CD"/>
    <w:multiLevelType w:val="hybridMultilevel"/>
    <w:tmpl w:val="8B2A6B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C424AAB"/>
    <w:multiLevelType w:val="hybridMultilevel"/>
    <w:tmpl w:val="768A0C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CFD3F4A"/>
    <w:multiLevelType w:val="hybridMultilevel"/>
    <w:tmpl w:val="5144F4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D351C0"/>
    <w:multiLevelType w:val="hybridMultilevel"/>
    <w:tmpl w:val="F27AE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8"/>
  </w:num>
  <w:num w:numId="4">
    <w:abstractNumId w:val="13"/>
  </w:num>
  <w:num w:numId="5">
    <w:abstractNumId w:val="31"/>
  </w:num>
  <w:num w:numId="6">
    <w:abstractNumId w:val="9"/>
  </w:num>
  <w:num w:numId="7">
    <w:abstractNumId w:val="8"/>
  </w:num>
  <w:num w:numId="8">
    <w:abstractNumId w:val="40"/>
  </w:num>
  <w:num w:numId="9">
    <w:abstractNumId w:val="15"/>
  </w:num>
  <w:num w:numId="10">
    <w:abstractNumId w:val="3"/>
  </w:num>
  <w:num w:numId="11">
    <w:abstractNumId w:val="30"/>
  </w:num>
  <w:num w:numId="12">
    <w:abstractNumId w:val="14"/>
  </w:num>
  <w:num w:numId="13">
    <w:abstractNumId w:val="36"/>
  </w:num>
  <w:num w:numId="14">
    <w:abstractNumId w:val="27"/>
  </w:num>
  <w:num w:numId="15">
    <w:abstractNumId w:val="2"/>
  </w:num>
  <w:num w:numId="16">
    <w:abstractNumId w:val="22"/>
  </w:num>
  <w:num w:numId="17">
    <w:abstractNumId w:val="12"/>
  </w:num>
  <w:num w:numId="18">
    <w:abstractNumId w:val="25"/>
  </w:num>
  <w:num w:numId="19">
    <w:abstractNumId w:val="20"/>
  </w:num>
  <w:num w:numId="20">
    <w:abstractNumId w:val="23"/>
  </w:num>
  <w:num w:numId="21">
    <w:abstractNumId w:val="21"/>
  </w:num>
  <w:num w:numId="22">
    <w:abstractNumId w:val="34"/>
  </w:num>
  <w:num w:numId="23">
    <w:abstractNumId w:val="5"/>
  </w:num>
  <w:num w:numId="24">
    <w:abstractNumId w:val="16"/>
  </w:num>
  <w:num w:numId="25">
    <w:abstractNumId w:val="17"/>
  </w:num>
  <w:num w:numId="26">
    <w:abstractNumId w:val="35"/>
  </w:num>
  <w:num w:numId="27">
    <w:abstractNumId w:val="11"/>
  </w:num>
  <w:num w:numId="28">
    <w:abstractNumId w:val="26"/>
  </w:num>
  <w:num w:numId="29">
    <w:abstractNumId w:val="33"/>
  </w:num>
  <w:num w:numId="30">
    <w:abstractNumId w:val="32"/>
  </w:num>
  <w:num w:numId="31">
    <w:abstractNumId w:val="7"/>
  </w:num>
  <w:num w:numId="32">
    <w:abstractNumId w:val="38"/>
  </w:num>
  <w:num w:numId="33">
    <w:abstractNumId w:val="29"/>
  </w:num>
  <w:num w:numId="34">
    <w:abstractNumId w:val="24"/>
  </w:num>
  <w:num w:numId="35">
    <w:abstractNumId w:val="28"/>
  </w:num>
  <w:num w:numId="36">
    <w:abstractNumId w:val="41"/>
  </w:num>
  <w:num w:numId="37">
    <w:abstractNumId w:val="6"/>
  </w:num>
  <w:num w:numId="38">
    <w:abstractNumId w:val="37"/>
  </w:num>
  <w:num w:numId="39">
    <w:abstractNumId w:val="39"/>
  </w:num>
  <w:num w:numId="40">
    <w:abstractNumId w:val="19"/>
  </w:num>
  <w:num w:numId="41">
    <w:abstractNumId w:val="10"/>
  </w:num>
  <w:num w:numId="42">
    <w:abstractNumId w:val="4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2285A"/>
    <w:rsid w:val="000115F3"/>
    <w:rsid w:val="00014693"/>
    <w:rsid w:val="00014E6A"/>
    <w:rsid w:val="0001607A"/>
    <w:rsid w:val="0002399B"/>
    <w:rsid w:val="00025C0A"/>
    <w:rsid w:val="00032B76"/>
    <w:rsid w:val="00034B02"/>
    <w:rsid w:val="00041D24"/>
    <w:rsid w:val="00046905"/>
    <w:rsid w:val="0005130E"/>
    <w:rsid w:val="00052C63"/>
    <w:rsid w:val="00052CB0"/>
    <w:rsid w:val="00053254"/>
    <w:rsid w:val="00053923"/>
    <w:rsid w:val="0005456E"/>
    <w:rsid w:val="00067F05"/>
    <w:rsid w:val="00081341"/>
    <w:rsid w:val="00092FB6"/>
    <w:rsid w:val="000938C4"/>
    <w:rsid w:val="000A0D57"/>
    <w:rsid w:val="000A676E"/>
    <w:rsid w:val="000A7400"/>
    <w:rsid w:val="000B6015"/>
    <w:rsid w:val="000B6528"/>
    <w:rsid w:val="000D7781"/>
    <w:rsid w:val="000F034A"/>
    <w:rsid w:val="000F3666"/>
    <w:rsid w:val="000F448C"/>
    <w:rsid w:val="00100433"/>
    <w:rsid w:val="00122601"/>
    <w:rsid w:val="001303C7"/>
    <w:rsid w:val="00131BAD"/>
    <w:rsid w:val="00133C10"/>
    <w:rsid w:val="00135709"/>
    <w:rsid w:val="00141B6A"/>
    <w:rsid w:val="001508E5"/>
    <w:rsid w:val="00150CCB"/>
    <w:rsid w:val="00151730"/>
    <w:rsid w:val="00161FA6"/>
    <w:rsid w:val="00162E43"/>
    <w:rsid w:val="00164507"/>
    <w:rsid w:val="00164C40"/>
    <w:rsid w:val="00165C5A"/>
    <w:rsid w:val="00170B9B"/>
    <w:rsid w:val="00176CAE"/>
    <w:rsid w:val="0018679E"/>
    <w:rsid w:val="00192316"/>
    <w:rsid w:val="00194608"/>
    <w:rsid w:val="001A2814"/>
    <w:rsid w:val="001A2928"/>
    <w:rsid w:val="001A2D75"/>
    <w:rsid w:val="001B3DE5"/>
    <w:rsid w:val="001B62E2"/>
    <w:rsid w:val="001C24E4"/>
    <w:rsid w:val="001C2739"/>
    <w:rsid w:val="001D1C58"/>
    <w:rsid w:val="001D49B1"/>
    <w:rsid w:val="001D6B54"/>
    <w:rsid w:val="001D7401"/>
    <w:rsid w:val="001E18B4"/>
    <w:rsid w:val="001F20A4"/>
    <w:rsid w:val="00202FA0"/>
    <w:rsid w:val="00206C91"/>
    <w:rsid w:val="00207F48"/>
    <w:rsid w:val="002143E7"/>
    <w:rsid w:val="00216B6A"/>
    <w:rsid w:val="00221331"/>
    <w:rsid w:val="002302EF"/>
    <w:rsid w:val="0023381A"/>
    <w:rsid w:val="00234ED5"/>
    <w:rsid w:val="0023752B"/>
    <w:rsid w:val="00237BCF"/>
    <w:rsid w:val="00256E2E"/>
    <w:rsid w:val="00256F0C"/>
    <w:rsid w:val="002574BD"/>
    <w:rsid w:val="00267B85"/>
    <w:rsid w:val="00275FB7"/>
    <w:rsid w:val="00276AF1"/>
    <w:rsid w:val="00283BCC"/>
    <w:rsid w:val="002849B5"/>
    <w:rsid w:val="002867F1"/>
    <w:rsid w:val="00297A95"/>
    <w:rsid w:val="002C2A13"/>
    <w:rsid w:val="002D435E"/>
    <w:rsid w:val="002D4474"/>
    <w:rsid w:val="002D687E"/>
    <w:rsid w:val="002D78A2"/>
    <w:rsid w:val="002E4558"/>
    <w:rsid w:val="002E7C63"/>
    <w:rsid w:val="00302240"/>
    <w:rsid w:val="003179F6"/>
    <w:rsid w:val="0032643C"/>
    <w:rsid w:val="00330D7D"/>
    <w:rsid w:val="00343863"/>
    <w:rsid w:val="00356DF4"/>
    <w:rsid w:val="00360D28"/>
    <w:rsid w:val="00363E4E"/>
    <w:rsid w:val="0038092C"/>
    <w:rsid w:val="00381051"/>
    <w:rsid w:val="003814FB"/>
    <w:rsid w:val="003825D2"/>
    <w:rsid w:val="003831AE"/>
    <w:rsid w:val="00394636"/>
    <w:rsid w:val="00395176"/>
    <w:rsid w:val="00397E5D"/>
    <w:rsid w:val="003A17FB"/>
    <w:rsid w:val="003B12A8"/>
    <w:rsid w:val="003C1C84"/>
    <w:rsid w:val="003C2756"/>
    <w:rsid w:val="003C6A76"/>
    <w:rsid w:val="003D208F"/>
    <w:rsid w:val="003D64D4"/>
    <w:rsid w:val="003E0FE7"/>
    <w:rsid w:val="003E36A3"/>
    <w:rsid w:val="003F310F"/>
    <w:rsid w:val="0041168D"/>
    <w:rsid w:val="00416589"/>
    <w:rsid w:val="00416F28"/>
    <w:rsid w:val="00421A56"/>
    <w:rsid w:val="00422DE3"/>
    <w:rsid w:val="00455FAA"/>
    <w:rsid w:val="00457987"/>
    <w:rsid w:val="004672CD"/>
    <w:rsid w:val="00467B9B"/>
    <w:rsid w:val="00474C1C"/>
    <w:rsid w:val="004817E9"/>
    <w:rsid w:val="00483C2D"/>
    <w:rsid w:val="0049793A"/>
    <w:rsid w:val="004A63B0"/>
    <w:rsid w:val="004C08B7"/>
    <w:rsid w:val="004C40A8"/>
    <w:rsid w:val="004D5A56"/>
    <w:rsid w:val="004D6DCD"/>
    <w:rsid w:val="004D765D"/>
    <w:rsid w:val="004E1969"/>
    <w:rsid w:val="004E394E"/>
    <w:rsid w:val="004E6147"/>
    <w:rsid w:val="004E6536"/>
    <w:rsid w:val="004E71CD"/>
    <w:rsid w:val="004F3E8B"/>
    <w:rsid w:val="004F4966"/>
    <w:rsid w:val="004F6D31"/>
    <w:rsid w:val="00501E02"/>
    <w:rsid w:val="00504067"/>
    <w:rsid w:val="00512960"/>
    <w:rsid w:val="00516393"/>
    <w:rsid w:val="0051715E"/>
    <w:rsid w:val="00520210"/>
    <w:rsid w:val="0052074E"/>
    <w:rsid w:val="00523C75"/>
    <w:rsid w:val="00527019"/>
    <w:rsid w:val="005366D6"/>
    <w:rsid w:val="00541BE3"/>
    <w:rsid w:val="00542BFC"/>
    <w:rsid w:val="00544F9B"/>
    <w:rsid w:val="00545845"/>
    <w:rsid w:val="00546AEC"/>
    <w:rsid w:val="00551DF1"/>
    <w:rsid w:val="00557917"/>
    <w:rsid w:val="005708AD"/>
    <w:rsid w:val="00574134"/>
    <w:rsid w:val="005810D1"/>
    <w:rsid w:val="00583165"/>
    <w:rsid w:val="00591229"/>
    <w:rsid w:val="005977FF"/>
    <w:rsid w:val="00597990"/>
    <w:rsid w:val="005A4DE6"/>
    <w:rsid w:val="005B2DC3"/>
    <w:rsid w:val="005B3884"/>
    <w:rsid w:val="005C55D6"/>
    <w:rsid w:val="005D06A9"/>
    <w:rsid w:val="005D5EB3"/>
    <w:rsid w:val="005E422E"/>
    <w:rsid w:val="00600069"/>
    <w:rsid w:val="00601828"/>
    <w:rsid w:val="006106B7"/>
    <w:rsid w:val="0061350F"/>
    <w:rsid w:val="0062568E"/>
    <w:rsid w:val="00637313"/>
    <w:rsid w:val="006475F5"/>
    <w:rsid w:val="00651753"/>
    <w:rsid w:val="00662DAD"/>
    <w:rsid w:val="00680D0A"/>
    <w:rsid w:val="00683784"/>
    <w:rsid w:val="0068468C"/>
    <w:rsid w:val="00685424"/>
    <w:rsid w:val="00690EA1"/>
    <w:rsid w:val="006A0A27"/>
    <w:rsid w:val="006A3AC8"/>
    <w:rsid w:val="006A6308"/>
    <w:rsid w:val="006C313B"/>
    <w:rsid w:val="006C7232"/>
    <w:rsid w:val="006D03C7"/>
    <w:rsid w:val="006D7CA9"/>
    <w:rsid w:val="006E239E"/>
    <w:rsid w:val="006E25E8"/>
    <w:rsid w:val="006E2F96"/>
    <w:rsid w:val="006E637D"/>
    <w:rsid w:val="006F05D5"/>
    <w:rsid w:val="006F1412"/>
    <w:rsid w:val="00707604"/>
    <w:rsid w:val="00713D60"/>
    <w:rsid w:val="0072116E"/>
    <w:rsid w:val="00721DAE"/>
    <w:rsid w:val="0072285A"/>
    <w:rsid w:val="00727544"/>
    <w:rsid w:val="00733ED3"/>
    <w:rsid w:val="0073453E"/>
    <w:rsid w:val="00735CF1"/>
    <w:rsid w:val="0074046E"/>
    <w:rsid w:val="00760515"/>
    <w:rsid w:val="007753DD"/>
    <w:rsid w:val="00777281"/>
    <w:rsid w:val="00777E8D"/>
    <w:rsid w:val="007905B1"/>
    <w:rsid w:val="007923D6"/>
    <w:rsid w:val="00795798"/>
    <w:rsid w:val="007A1EBE"/>
    <w:rsid w:val="007A4C60"/>
    <w:rsid w:val="007C4B51"/>
    <w:rsid w:val="007D5468"/>
    <w:rsid w:val="007D6282"/>
    <w:rsid w:val="007D78B0"/>
    <w:rsid w:val="007E1479"/>
    <w:rsid w:val="007E71D2"/>
    <w:rsid w:val="007F06FE"/>
    <w:rsid w:val="007F2CBE"/>
    <w:rsid w:val="007F6A81"/>
    <w:rsid w:val="00802BB6"/>
    <w:rsid w:val="00812835"/>
    <w:rsid w:val="00813159"/>
    <w:rsid w:val="00813175"/>
    <w:rsid w:val="0081584B"/>
    <w:rsid w:val="00816F4D"/>
    <w:rsid w:val="00824102"/>
    <w:rsid w:val="0082432A"/>
    <w:rsid w:val="008334CE"/>
    <w:rsid w:val="00834904"/>
    <w:rsid w:val="00843D2C"/>
    <w:rsid w:val="00844255"/>
    <w:rsid w:val="00862342"/>
    <w:rsid w:val="00864E4E"/>
    <w:rsid w:val="008707AC"/>
    <w:rsid w:val="0087706E"/>
    <w:rsid w:val="008839C1"/>
    <w:rsid w:val="008911F1"/>
    <w:rsid w:val="00892F78"/>
    <w:rsid w:val="0089643A"/>
    <w:rsid w:val="008B149E"/>
    <w:rsid w:val="008C0E34"/>
    <w:rsid w:val="008C4469"/>
    <w:rsid w:val="008D2AB3"/>
    <w:rsid w:val="008D4711"/>
    <w:rsid w:val="008D5638"/>
    <w:rsid w:val="008E118B"/>
    <w:rsid w:val="008F79F2"/>
    <w:rsid w:val="00900A36"/>
    <w:rsid w:val="009049AD"/>
    <w:rsid w:val="00905E0B"/>
    <w:rsid w:val="00913EFC"/>
    <w:rsid w:val="0092426C"/>
    <w:rsid w:val="009243B3"/>
    <w:rsid w:val="00934DE3"/>
    <w:rsid w:val="009521C5"/>
    <w:rsid w:val="009556D1"/>
    <w:rsid w:val="00955CC3"/>
    <w:rsid w:val="00956A7E"/>
    <w:rsid w:val="0096073F"/>
    <w:rsid w:val="00963831"/>
    <w:rsid w:val="00963907"/>
    <w:rsid w:val="00963CAE"/>
    <w:rsid w:val="00964812"/>
    <w:rsid w:val="00966530"/>
    <w:rsid w:val="00975F99"/>
    <w:rsid w:val="00980663"/>
    <w:rsid w:val="009A26F3"/>
    <w:rsid w:val="009A3B0A"/>
    <w:rsid w:val="009A6986"/>
    <w:rsid w:val="009B4D06"/>
    <w:rsid w:val="009D4BA6"/>
    <w:rsid w:val="009D61A0"/>
    <w:rsid w:val="009E1D16"/>
    <w:rsid w:val="009F12EC"/>
    <w:rsid w:val="00A01F44"/>
    <w:rsid w:val="00A10939"/>
    <w:rsid w:val="00A1673A"/>
    <w:rsid w:val="00A22BE1"/>
    <w:rsid w:val="00A22F3A"/>
    <w:rsid w:val="00A23EB5"/>
    <w:rsid w:val="00A26CF2"/>
    <w:rsid w:val="00A27344"/>
    <w:rsid w:val="00A3011E"/>
    <w:rsid w:val="00A31CB4"/>
    <w:rsid w:val="00A3420D"/>
    <w:rsid w:val="00A374F6"/>
    <w:rsid w:val="00A44404"/>
    <w:rsid w:val="00A44C00"/>
    <w:rsid w:val="00A571FB"/>
    <w:rsid w:val="00A60CBD"/>
    <w:rsid w:val="00A627FF"/>
    <w:rsid w:val="00A6794C"/>
    <w:rsid w:val="00AA0A34"/>
    <w:rsid w:val="00AC32BD"/>
    <w:rsid w:val="00AE25ED"/>
    <w:rsid w:val="00AE28C2"/>
    <w:rsid w:val="00AF2098"/>
    <w:rsid w:val="00AF3183"/>
    <w:rsid w:val="00B00737"/>
    <w:rsid w:val="00B106AE"/>
    <w:rsid w:val="00B2663E"/>
    <w:rsid w:val="00B322C0"/>
    <w:rsid w:val="00B34D34"/>
    <w:rsid w:val="00B40809"/>
    <w:rsid w:val="00B439B5"/>
    <w:rsid w:val="00B64CF9"/>
    <w:rsid w:val="00B65A9B"/>
    <w:rsid w:val="00B7123C"/>
    <w:rsid w:val="00B76213"/>
    <w:rsid w:val="00B82791"/>
    <w:rsid w:val="00B84141"/>
    <w:rsid w:val="00B84E8E"/>
    <w:rsid w:val="00B8537F"/>
    <w:rsid w:val="00B85A43"/>
    <w:rsid w:val="00B8636D"/>
    <w:rsid w:val="00B8680B"/>
    <w:rsid w:val="00B87B5D"/>
    <w:rsid w:val="00B9336C"/>
    <w:rsid w:val="00BA1F92"/>
    <w:rsid w:val="00BB1B45"/>
    <w:rsid w:val="00BB2C93"/>
    <w:rsid w:val="00BB429C"/>
    <w:rsid w:val="00BB7CA9"/>
    <w:rsid w:val="00BC2F4F"/>
    <w:rsid w:val="00BC4DFB"/>
    <w:rsid w:val="00BD1A92"/>
    <w:rsid w:val="00BD5B75"/>
    <w:rsid w:val="00BE04A0"/>
    <w:rsid w:val="00BE4728"/>
    <w:rsid w:val="00BE4BA0"/>
    <w:rsid w:val="00C01120"/>
    <w:rsid w:val="00C01839"/>
    <w:rsid w:val="00C041EB"/>
    <w:rsid w:val="00C06CC1"/>
    <w:rsid w:val="00C06DC9"/>
    <w:rsid w:val="00C075AB"/>
    <w:rsid w:val="00C20C91"/>
    <w:rsid w:val="00C318C3"/>
    <w:rsid w:val="00C34231"/>
    <w:rsid w:val="00C35ACB"/>
    <w:rsid w:val="00C51CDC"/>
    <w:rsid w:val="00C608E8"/>
    <w:rsid w:val="00C62953"/>
    <w:rsid w:val="00C641F3"/>
    <w:rsid w:val="00C66625"/>
    <w:rsid w:val="00C6742B"/>
    <w:rsid w:val="00C75BF9"/>
    <w:rsid w:val="00C805EF"/>
    <w:rsid w:val="00C82EBC"/>
    <w:rsid w:val="00C84735"/>
    <w:rsid w:val="00C945EC"/>
    <w:rsid w:val="00C97045"/>
    <w:rsid w:val="00CA1F75"/>
    <w:rsid w:val="00CA2769"/>
    <w:rsid w:val="00CA5888"/>
    <w:rsid w:val="00CB01B5"/>
    <w:rsid w:val="00CB40F6"/>
    <w:rsid w:val="00CB59AB"/>
    <w:rsid w:val="00CB78E1"/>
    <w:rsid w:val="00CC0748"/>
    <w:rsid w:val="00CC2877"/>
    <w:rsid w:val="00CE0C02"/>
    <w:rsid w:val="00CE3FF6"/>
    <w:rsid w:val="00CE5349"/>
    <w:rsid w:val="00CE6161"/>
    <w:rsid w:val="00CE647D"/>
    <w:rsid w:val="00CF62BC"/>
    <w:rsid w:val="00D05EFB"/>
    <w:rsid w:val="00D21912"/>
    <w:rsid w:val="00D23217"/>
    <w:rsid w:val="00D2347B"/>
    <w:rsid w:val="00D30FFF"/>
    <w:rsid w:val="00D42921"/>
    <w:rsid w:val="00D46EE1"/>
    <w:rsid w:val="00D60C7D"/>
    <w:rsid w:val="00D62509"/>
    <w:rsid w:val="00D73854"/>
    <w:rsid w:val="00D80872"/>
    <w:rsid w:val="00D83929"/>
    <w:rsid w:val="00D92803"/>
    <w:rsid w:val="00D95224"/>
    <w:rsid w:val="00D96749"/>
    <w:rsid w:val="00D970BA"/>
    <w:rsid w:val="00DA6BFC"/>
    <w:rsid w:val="00DC0DF4"/>
    <w:rsid w:val="00DC10FC"/>
    <w:rsid w:val="00DC130C"/>
    <w:rsid w:val="00DC5206"/>
    <w:rsid w:val="00DD5024"/>
    <w:rsid w:val="00DD6575"/>
    <w:rsid w:val="00DE0EAA"/>
    <w:rsid w:val="00DF7306"/>
    <w:rsid w:val="00E01C1B"/>
    <w:rsid w:val="00E01D16"/>
    <w:rsid w:val="00E02AB5"/>
    <w:rsid w:val="00E040F8"/>
    <w:rsid w:val="00E0617C"/>
    <w:rsid w:val="00E12B0B"/>
    <w:rsid w:val="00E136C4"/>
    <w:rsid w:val="00E15129"/>
    <w:rsid w:val="00E1591B"/>
    <w:rsid w:val="00E35306"/>
    <w:rsid w:val="00E3553B"/>
    <w:rsid w:val="00E416E1"/>
    <w:rsid w:val="00E437FD"/>
    <w:rsid w:val="00E44082"/>
    <w:rsid w:val="00E46B57"/>
    <w:rsid w:val="00E555CA"/>
    <w:rsid w:val="00E56486"/>
    <w:rsid w:val="00E6624D"/>
    <w:rsid w:val="00E70070"/>
    <w:rsid w:val="00E83696"/>
    <w:rsid w:val="00E92E7E"/>
    <w:rsid w:val="00EA2779"/>
    <w:rsid w:val="00EA509C"/>
    <w:rsid w:val="00EB1C0F"/>
    <w:rsid w:val="00EB2F01"/>
    <w:rsid w:val="00EB3F6F"/>
    <w:rsid w:val="00EB524C"/>
    <w:rsid w:val="00EB757B"/>
    <w:rsid w:val="00EC1680"/>
    <w:rsid w:val="00EC5B66"/>
    <w:rsid w:val="00ED149D"/>
    <w:rsid w:val="00ED15E6"/>
    <w:rsid w:val="00ED3456"/>
    <w:rsid w:val="00ED7ACC"/>
    <w:rsid w:val="00EE17DD"/>
    <w:rsid w:val="00EE2DE9"/>
    <w:rsid w:val="00EF2742"/>
    <w:rsid w:val="00EF499D"/>
    <w:rsid w:val="00EF64DD"/>
    <w:rsid w:val="00EF764C"/>
    <w:rsid w:val="00F04DCA"/>
    <w:rsid w:val="00F1181A"/>
    <w:rsid w:val="00F11EF0"/>
    <w:rsid w:val="00F12A32"/>
    <w:rsid w:val="00F1429C"/>
    <w:rsid w:val="00F165DD"/>
    <w:rsid w:val="00F2366F"/>
    <w:rsid w:val="00F32EC7"/>
    <w:rsid w:val="00F34D21"/>
    <w:rsid w:val="00F37A45"/>
    <w:rsid w:val="00F416B5"/>
    <w:rsid w:val="00F5129F"/>
    <w:rsid w:val="00F52BD7"/>
    <w:rsid w:val="00F56CB3"/>
    <w:rsid w:val="00F603F6"/>
    <w:rsid w:val="00F771E0"/>
    <w:rsid w:val="00F84647"/>
    <w:rsid w:val="00FA14B4"/>
    <w:rsid w:val="00FA2335"/>
    <w:rsid w:val="00FA4BF5"/>
    <w:rsid w:val="00FB2486"/>
    <w:rsid w:val="00FB5AB4"/>
    <w:rsid w:val="00FD5044"/>
    <w:rsid w:val="00FE1A83"/>
    <w:rsid w:val="00FF02EB"/>
    <w:rsid w:val="00FF128D"/>
    <w:rsid w:val="00FF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C6A233F"/>
  <w15:docId w15:val="{08762808-7259-4888-8A2B-495016CBCEB6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64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qFormat/>
    <w:rsid w:val="006837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3784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683784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683784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683784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683784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683784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683784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68378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85A"/>
    <w:pPr>
      <w:spacing w:after="200" w:line="276" w:lineRule="auto"/>
      <w:ind w:left="720"/>
      <w:contextualSpacing/>
    </w:pPr>
    <w:rPr>
      <w:rFonts w:ascii="Calibri" w:hAnsi="Calibri"/>
    </w:rPr>
  </w:style>
  <w:style w:type="paragraph" w:styleId="FootnoteText">
    <w:name w:val="footnote text"/>
    <w:basedOn w:val="Normal"/>
    <w:link w:val="FootnoteTextChar"/>
    <w:unhideWhenUsed/>
    <w:qFormat/>
    <w:rsid w:val="0068378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E71D2"/>
    <w:rPr>
      <w:sz w:val="20"/>
      <w:szCs w:val="20"/>
      <w:lang w:val="pt-PT"/>
    </w:rPr>
  </w:style>
  <w:style w:type="character" w:styleId="FootnoteReference">
    <w:name w:val="footnote reference"/>
    <w:basedOn w:val="DefaultParagraphFont"/>
    <w:unhideWhenUsed/>
    <w:qFormat/>
    <w:rsid w:val="0068378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A4C6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A4C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A4C60"/>
    <w:rPr>
      <w:rFonts w:ascii="Times New Roman" w:eastAsia="Times New Roman" w:hAnsi="Times New Roman" w:cs="Times New Roman"/>
      <w:sz w:val="20"/>
      <w:szCs w:val="20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C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C60"/>
    <w:rPr>
      <w:rFonts w:ascii="Times New Roman" w:eastAsia="Times New Roman" w:hAnsi="Times New Roman" w:cs="Times New Roman"/>
      <w:b/>
      <w:bCs/>
      <w:sz w:val="20"/>
      <w:szCs w:val="20"/>
      <w:lang w:val="pt-PT"/>
    </w:rPr>
  </w:style>
  <w:style w:type="paragraph" w:styleId="Revision">
    <w:name w:val="Revision"/>
    <w:hidden/>
    <w:uiPriority w:val="99"/>
    <w:semiHidden/>
    <w:rsid w:val="007A4C60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C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C60"/>
    <w:rPr>
      <w:rFonts w:ascii="Tahoma" w:eastAsia="Times New Roman" w:hAnsi="Tahoma" w:cs="Tahoma"/>
      <w:sz w:val="16"/>
      <w:szCs w:val="16"/>
      <w:lang w:val="pt-PT"/>
    </w:rPr>
  </w:style>
  <w:style w:type="character" w:customStyle="1" w:styleId="normaltextrun">
    <w:name w:val="normaltextrun"/>
    <w:basedOn w:val="DefaultParagraphFont"/>
    <w:rsid w:val="00F12A32"/>
  </w:style>
  <w:style w:type="character" w:customStyle="1" w:styleId="eop">
    <w:name w:val="eop"/>
    <w:basedOn w:val="DefaultParagraphFont"/>
    <w:rsid w:val="00F12A32"/>
  </w:style>
  <w:style w:type="character" w:customStyle="1" w:styleId="spellingerror">
    <w:name w:val="spellingerror"/>
    <w:basedOn w:val="DefaultParagraphFont"/>
    <w:rsid w:val="00CC0748"/>
  </w:style>
  <w:style w:type="paragraph" w:styleId="Header">
    <w:name w:val="header"/>
    <w:basedOn w:val="Normal"/>
    <w:link w:val="HeaderChar"/>
    <w:unhideWhenUsed/>
    <w:qFormat/>
    <w:rsid w:val="00683784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B1C0F"/>
    <w:rPr>
      <w:lang w:val="pt-PT"/>
    </w:rPr>
  </w:style>
  <w:style w:type="paragraph" w:styleId="Footer">
    <w:name w:val="footer"/>
    <w:basedOn w:val="Normal"/>
    <w:link w:val="FooterChar"/>
    <w:unhideWhenUsed/>
    <w:qFormat/>
    <w:rsid w:val="00683784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EB1C0F"/>
    <w:rPr>
      <w:lang w:val="pt-PT"/>
    </w:rPr>
  </w:style>
  <w:style w:type="character" w:customStyle="1" w:styleId="Heading1Char">
    <w:name w:val="Heading 1 Char"/>
    <w:basedOn w:val="DefaultParagraphFont"/>
    <w:link w:val="Heading1"/>
    <w:rsid w:val="00CE534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t-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DC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B2DC3"/>
    <w:rPr>
      <w:rFonts w:eastAsiaTheme="minorEastAsia"/>
      <w:color w:val="5A5A5A" w:themeColor="text1" w:themeTint="A5"/>
      <w:spacing w:val="15"/>
      <w:lang w:val="pt-PT"/>
    </w:rPr>
  </w:style>
  <w:style w:type="character" w:styleId="Hyperlink">
    <w:name w:val="Hyperlink"/>
    <w:basedOn w:val="DefaultParagraphFont"/>
    <w:uiPriority w:val="99"/>
    <w:unhideWhenUsed/>
    <w:rsid w:val="00014E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A31CB4"/>
    <w:rPr>
      <w:lang w:val="pt-PT"/>
    </w:rPr>
  </w:style>
  <w:style w:type="character" w:customStyle="1" w:styleId="Heading3Char">
    <w:name w:val="Heading 3 Char"/>
    <w:basedOn w:val="DefaultParagraphFont"/>
    <w:link w:val="Heading3"/>
    <w:rsid w:val="00A31CB4"/>
    <w:rPr>
      <w:lang w:val="pt-PT"/>
    </w:rPr>
  </w:style>
  <w:style w:type="character" w:customStyle="1" w:styleId="Heading4Char">
    <w:name w:val="Heading 4 Char"/>
    <w:basedOn w:val="DefaultParagraphFont"/>
    <w:link w:val="Heading4"/>
    <w:rsid w:val="00A31CB4"/>
    <w:rPr>
      <w:lang w:val="pt-PT"/>
    </w:rPr>
  </w:style>
  <w:style w:type="character" w:customStyle="1" w:styleId="Heading5Char">
    <w:name w:val="Heading 5 Char"/>
    <w:basedOn w:val="DefaultParagraphFont"/>
    <w:link w:val="Heading5"/>
    <w:rsid w:val="00A31CB4"/>
    <w:rPr>
      <w:lang w:val="pt-PT"/>
    </w:rPr>
  </w:style>
  <w:style w:type="character" w:customStyle="1" w:styleId="Heading6Char">
    <w:name w:val="Heading 6 Char"/>
    <w:basedOn w:val="DefaultParagraphFont"/>
    <w:link w:val="Heading6"/>
    <w:rsid w:val="00A31CB4"/>
    <w:rPr>
      <w:lang w:val="pt-PT"/>
    </w:rPr>
  </w:style>
  <w:style w:type="character" w:customStyle="1" w:styleId="Heading7Char">
    <w:name w:val="Heading 7 Char"/>
    <w:basedOn w:val="DefaultParagraphFont"/>
    <w:link w:val="Heading7"/>
    <w:rsid w:val="00A31CB4"/>
    <w:rPr>
      <w:lang w:val="pt-PT"/>
    </w:rPr>
  </w:style>
  <w:style w:type="character" w:customStyle="1" w:styleId="Heading8Char">
    <w:name w:val="Heading 8 Char"/>
    <w:basedOn w:val="DefaultParagraphFont"/>
    <w:link w:val="Heading8"/>
    <w:rsid w:val="00A31CB4"/>
    <w:rPr>
      <w:lang w:val="pt-PT"/>
    </w:rPr>
  </w:style>
  <w:style w:type="character" w:customStyle="1" w:styleId="Heading9Char">
    <w:name w:val="Heading 9 Char"/>
    <w:basedOn w:val="DefaultParagraphFont"/>
    <w:link w:val="Heading9"/>
    <w:rsid w:val="00A31CB4"/>
    <w:rPr>
      <w:lang w:val="pt-PT"/>
    </w:rPr>
  </w:style>
  <w:style w:type="paragraph" w:customStyle="1" w:styleId="quotes">
    <w:name w:val="quotes"/>
    <w:basedOn w:val="Normal"/>
    <w:next w:val="Normal"/>
    <w:rsid w:val="00A31CB4"/>
    <w:pPr>
      <w:ind w:left="7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26" Type="http://schemas.openxmlformats.org/officeDocument/2006/relationships/customXml" Target="../customXml/item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5" Type="http://schemas.microsoft.com/office/2016/09/relationships/commentsIds" Target="commentsIds.xml"/><Relationship Id="rId16" Type="http://schemas.openxmlformats.org/officeDocument/2006/relationships/footer" Target="footer1.xml"/><Relationship Id="rId29" Type="http://schemas.openxmlformats.org/officeDocument/2006/relationships/customXml" Target="../customXml/item4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8/08/relationships/commentsExtensible" Target="commentsExtensible.xml"/><Relationship Id="rId15" Type="http://schemas.openxmlformats.org/officeDocument/2006/relationships/hyperlink" Target="https://s3platform.jrc.ec.europa.eu/social-economy" TargetMode="External"/><Relationship Id="rId28" Type="http://schemas.openxmlformats.org/officeDocument/2006/relationships/customXml" Target="../customXml/item3.xml"/><Relationship Id="rId10" Type="http://schemas.openxmlformats.org/officeDocument/2006/relationships/footnotes" Target="footnotes.xml"/><Relationship Id="rId9" Type="http://schemas.openxmlformats.org/officeDocument/2006/relationships/webSettings" Target="webSettings.xml"/><Relationship Id="rId14" Type="http://schemas.openxmlformats.org/officeDocument/2006/relationships/hyperlink" Target="https://www.europeanjobdays.eu/pt-pt" TargetMode="External"/><Relationship Id="rId27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xUriServ/LexUriServ.do?uri=OJ:C:2012:102:0006:0010:PT:PDF" TargetMode="External"/><Relationship Id="rId1" Type="http://schemas.openxmlformats.org/officeDocument/2006/relationships/hyperlink" Target="https://ec.europa.eu/commission/sites/beta-political/files/reflection-paper-social-dimension-europe_pt.pdf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3T5AXJEHYTWU-1246943346-5489</_dlc_DocId>
    <_dlc_DocIdUrl xmlns="0b452354-65a4-4dd6-8824-e6b830247e3e">
      <Url>http://dm2016/cor/2020/_layouts/15/DocIdRedir.aspx?ID=3T5AXJEHYTWU-1246943346-5489</Url>
      <Description>3T5AXJEHYTWU-1246943346-5489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2020-11-20T12:00:00+00:00</ProductionDate>
    <FicheYear xmlns="0b452354-65a4-4dd6-8824-e6b830247e3e">2020</FicheYear>
    <DocumentNumber xmlns="4bbe3f12-7728-4332-8165-6531ead52725">4835</DocumentNumber>
    <DocumentVersion xmlns="0b452354-65a4-4dd6-8824-e6b830247e3e">1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31</Value>
      <Value>30</Value>
      <Value>29</Value>
      <Value>27</Value>
      <Value>26</Value>
      <Value>25</Value>
      <Value>23</Value>
      <Value>22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12567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4B273F63-DE78-4C01-8B91-7565D85A6DEF}"/>
</file>

<file path=customXml/itemProps2.xml><?xml version="1.0" encoding="utf-8"?>
<ds:datastoreItem xmlns:ds="http://schemas.openxmlformats.org/officeDocument/2006/customXml" ds:itemID="{BCF954B8-1677-40FB-9309-24CCF5BAC874}"/>
</file>

<file path=customXml/itemProps3.xml><?xml version="1.0" encoding="utf-8"?>
<ds:datastoreItem xmlns:ds="http://schemas.openxmlformats.org/officeDocument/2006/customXml" ds:itemID="{C84ED7D5-40D9-40EF-974F-EDE009714691}"/>
</file>

<file path=customXml/itemProps4.xml><?xml version="1.0" encoding="utf-8"?>
<ds:datastoreItem xmlns:ds="http://schemas.openxmlformats.org/officeDocument/2006/customXml" ds:itemID="{56B8360D-26C1-4D12-B294-7DE1A30EDEAF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5</TotalTime>
  <Pages>9</Pages>
  <Words>2895</Words>
  <Characters>15927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EESC-ECOR</Company>
  <LinksUpToDate>false</LinksUpToDate>
  <CharactersWithSpaces>18785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conjunto do CR e da DG EMPL: Domínios de cooperação reforçada</dc:title>
  <dc:subject>Trabalhos consultivos, diversos</dc:subject>
  <dc:creator>Thomas Wobben</dc:creator>
  <cp:keywords>COR-2020-04835-00-01-TCD-TRA-EN</cp:keywords>
  <dc:description>Rapporteur:  - Original language: EN - Date of document: 20/11/2020 - Date of meeting: 25/11/2020 - External documents:  - Administrator:  PETRAS Georgios</dc:description>
  <cp:lastModifiedBy>Nobre Da Silva Vanda</cp:lastModifiedBy>
  <cp:revision>10</cp:revision>
  <cp:lastPrinted>2020-10-07T12:59:00Z</cp:lastPrinted>
  <dcterms:created xsi:type="dcterms:W3CDTF">2020-11-17T16:19:00Z</dcterms:created>
  <dcterms:modified xsi:type="dcterms:W3CDTF">2020-11-20T11:33:00Z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17/11/2020, 17/11/2020, 03/11/2020</vt:lpwstr>
  </property>
  <property fmtid="{D5CDD505-2E9C-101B-9397-08002B2CF9AE}" pid="4" name="Pref_Time">
    <vt:lpwstr>17:11:11, 17:01:01, 11:51:23</vt:lpwstr>
  </property>
  <property fmtid="{D5CDD505-2E9C-101B-9397-08002B2CF9AE}" pid="5" name="Pref_User">
    <vt:lpwstr>enied, ssex, amett</vt:lpwstr>
  </property>
  <property fmtid="{D5CDD505-2E9C-101B-9397-08002B2CF9AE}" pid="6" name="Pref_FileName">
    <vt:lpwstr>COR-2020-04835-00-01-TCD-TRA-EN-CRR.docx, COR-2020-04835-00-01-TCD-CRR-EN.docx, COR-2020-04835-00-00-TCD-TRA-EN-CRR.docx</vt:lpwstr>
  </property>
  <property fmtid="{D5CDD505-2E9C-101B-9397-08002B2CF9AE}" pid="7" name="ContentTypeId">
    <vt:lpwstr>0x010100EA97B91038054C99906057A708A1480A00165174FC8F090445A2AE79FCF6D9A29A</vt:lpwstr>
  </property>
  <property fmtid="{D5CDD505-2E9C-101B-9397-08002B2CF9AE}" pid="8" name="_dlc_DocIdItemGuid">
    <vt:lpwstr>04fc253e-10f8-45e7-a83a-3e14adde6712</vt:lpwstr>
  </property>
  <property fmtid="{D5CDD505-2E9C-101B-9397-08002B2CF9AE}" pid="9" name="AvailableTranslations">
    <vt:lpwstr>31;#LV|46f7e311-5d9f-4663-b433-18aeccb7ace7;#4;#FR|d2afafd3-4c81-4f60-8f52-ee33f2f54ff3;#16;#ES|e7a6b05b-ae16-40c8-add9-68b64b03aeba;#36;#FI|87606a43-d45f-42d6-b8c9-e1a3457db5b7;#34;#CS|72f9705b-0217-4fd3-bea2-cbc7ed80e26e;#19;#LT|a7ff5ce7-6123-4f68-865a-a57c31810414;#35;#PT|50ccc04a-eadd-42ae-a0cb-acaf45f812ba;#13;#HR|2f555653-ed1a-4fe6-8362-9082d95989e5;#12;#EL|6d4f4d51-af9b-4650-94b4-4276bee85c91;#38;#RO|feb747a2-64cd-4299-af12-4833ddc30497;#14;#MT|7df99101-6854-4a26-b53a-b88c0da02c26;#18;#NL|55c6556c-b4f4-441d-9acf-c498d4f838bd;#23;#DE|f6b31e5a-26fa-4935-b661-318e46daf27e;#30;#DA|5d49c027-8956-412b-aa16-e85a0f96ad0e;#27;#HU|6b229040-c589-4408-b4c1-4285663d20a8;#26;#SL|98a412ae-eb01-49e9-ae3d-585a81724cfc;#17;#PL|1e03da61-4678-4e07-b136-b5024ca9197b;#37;#BG|1a1b3951-7821-4e6a-85f5-5673fc08bd2c;#29;#SV|c2ed69e7-a339-43d7-8f22-d93680a92aa0;#25;#ET|ff6c3f4c-b02c-4c3c-ab07-2c37995a7a0a;#11;#IT|0774613c-01ed-4e5d-a25d-11d2388de825;#15;#SK|46d9fce0-ef79-4f71-b89b-cd6aa82426b8;#7;#EN|f2175f21-25d7-44a3-96da-d6a61b075e1b</vt:lpwstr>
  </property>
  <property fmtid="{D5CDD505-2E9C-101B-9397-08002B2CF9AE}" pid="10" name="DocumentType_0">
    <vt:lpwstr>TCD|cd9d6eb6-3f4f-424a-b2d1-57c9d450eaaf</vt:lpwstr>
  </property>
  <property fmtid="{D5CDD505-2E9C-101B-9397-08002B2CF9AE}" pid="11" name="MeetingNumber">
    <vt:i4>5</vt:i4>
  </property>
  <property fmtid="{D5CDD505-2E9C-101B-9397-08002B2CF9AE}" pid="12" name="DossierName_0">
    <vt:lpwstr/>
  </property>
  <property fmtid="{D5CDD505-2E9C-101B-9397-08002B2CF9AE}" pid="13" name="DocumentSource_0">
    <vt:lpwstr>CoR|cb2d75ef-4a7d-4393-b797-49ed6298a5ea</vt:lpwstr>
  </property>
  <property fmtid="{D5CDD505-2E9C-101B-9397-08002B2CF9AE}" pid="14" name="DocumentNumber">
    <vt:i4>4835</vt:i4>
  </property>
  <property fmtid="{D5CDD505-2E9C-101B-9397-08002B2CF9AE}" pid="15" name="FicheYear">
    <vt:i4>2020</vt:i4>
  </property>
  <property fmtid="{D5CDD505-2E9C-101B-9397-08002B2CF9AE}" pid="16" name="DocumentVersion">
    <vt:i4>1</vt:i4>
  </property>
  <property fmtid="{D5CDD505-2E9C-101B-9397-08002B2CF9AE}" pid="17" name="DocumentStatus">
    <vt:lpwstr>8;#TRA|150d2a88-1431-44e6-a8ca-0bb753ab8672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/>
  </property>
  <property fmtid="{D5CDD505-2E9C-101B-9397-08002B2CF9AE}" pid="20" name="DocumentSource">
    <vt:lpwstr>1;#CoR|cb2d75ef-4a7d-4393-b797-49ed6298a5ea</vt:lpwstr>
  </property>
  <property fmtid="{D5CDD505-2E9C-101B-9397-08002B2CF9AE}" pid="22" name="DocumentType">
    <vt:lpwstr>22;#TCD|cd9d6eb6-3f4f-424a-b2d1-57c9d450eaaf</vt:lpwstr>
  </property>
  <property fmtid="{D5CDD505-2E9C-101B-9397-08002B2CF9AE}" pid="23" name="RequestingService">
    <vt:lpwstr>Commission SEDEC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SEDEC-VII|2234d809-5ab4-4b5b-84d4-8dd3531523c3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7;#EN|f2175f21-25d7-44a3-96da-d6a61b075e1b</vt:lpwstr>
  </property>
  <property fmtid="{D5CDD505-2E9C-101B-9397-08002B2CF9AE}" pid="28" name="MeetingName">
    <vt:lpwstr>50;#SEDEC-VII|2234d809-5ab4-4b5b-84d4-8dd3531523c3</vt:lpwstr>
  </property>
  <property fmtid="{D5CDD505-2E9C-101B-9397-08002B2CF9AE}" pid="29" name="MeetingDate">
    <vt:filetime>2020-11-25T12:00:00Z</vt:filetime>
  </property>
  <property fmtid="{D5CDD505-2E9C-101B-9397-08002B2CF9AE}" pid="30" name="AvailableTranslations_0">
    <vt:lpwstr>LV|46f7e311-5d9f-4663-b433-18aeccb7ace7;EN|f2175f21-25d7-44a3-96da-d6a61b075e1b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50;#SEDEC-VII|2234d809-5ab4-4b5b-84d4-8dd3531523c3;#5;#Unrestricted|826e22d7-d029-4ec0-a450-0c28ff673572;#31;#LV|46f7e311-5d9f-4663-b433-18aeccb7ace7;#8;#TRA|150d2a88-1431-44e6-a8ca-0bb753ab8672;#7;#EN|f2175f21-25d7-44a3-96da-d6a61b075e1b;#6;#Final|ea5e6674-7b27-4bac-b091-73adbb394efe;#22;#TCD|cd9d6eb6-3f4f-424a-b2d1-57c9d450eaaf;#1;#CoR|cb2d75ef-4a7d-4393-b797-49ed6298a5ea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12567</vt:i4>
  </property>
  <property fmtid="{D5CDD505-2E9C-101B-9397-08002B2CF9AE}" pid="38" name="DocumentLanguage">
    <vt:lpwstr>35;#PT|50ccc04a-eadd-42ae-a0cb-acaf45f812ba</vt:lpwstr>
  </property>
  <property fmtid="{D5CDD505-2E9C-101B-9397-08002B2CF9AE}" pid="39" name="_docset_NoMedatataSyncRequired">
    <vt:lpwstr>False</vt:lpwstr>
  </property>
</Properties>
</file>