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23381A" w:rsidP="00790CAE">
      <w:pPr>
        <w:rPr>
          <w:b/>
          <w:sz w:val="36"/>
          <w:szCs w:val="36"/>
          <w:u w:val="single"/>
        </w:rPr>
      </w:pPr>
      <w:r>
        <w:rPr>
          <w:noProof/>
          <w:lang w:val="en-US"/>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90CAE" w:rsidRPr="00A45900">
        <w:rPr>
          <w:noProof/>
          <w:lang w:val="en-US"/>
        </w:rPr>
        <w:drawing>
          <wp:inline distT="0" distB="0" distL="0" distR="0">
            <wp:extent cx="1247775" cy="1080875"/>
            <wp:effectExtent l="0" t="0" r="0" b="5080"/>
            <wp:docPr id="28" name="Picture 28" descr="C:\Users\mreg\Music\New LOGO CoR\Logo\logo_CoR-vertical-positive-ro-quadri_MR.jpg" title="CoRLogo_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ro-quadri_M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48278" cy="1081311"/>
                    </a:xfrm>
                    <a:prstGeom prst="rect">
                      <a:avLst/>
                    </a:prstGeom>
                    <a:noFill/>
                    <a:ln>
                      <a:noFill/>
                    </a:ln>
                  </pic:spPr>
                </pic:pic>
              </a:graphicData>
            </a:graphic>
          </wp:inline>
        </w:drawing>
      </w:r>
    </w:p>
    <w:p w:rsidR="00B87B5D" w:rsidRPr="003814FB" w:rsidRDefault="00C82EBC">
      <w:pPr>
        <w:jc w:val="center"/>
        <w:rPr>
          <w:b/>
          <w:sz w:val="36"/>
          <w:szCs w:val="36"/>
          <w:u w:val="single"/>
        </w:rPr>
      </w:pPr>
      <w:r>
        <w:rPr>
          <w:b/>
          <w:noProof/>
          <w:sz w:val="20"/>
          <w:szCs w:val="36"/>
          <w:u w:val="single"/>
          <w:lang w:val="en-US"/>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RO</w:t>
                      </w:r>
                    </w:p>
                  </w:txbxContent>
                </v:textbox>
                <w10:wrap anchorx="page" anchory="page"/>
              </v:shape>
            </w:pict>
          </mc:Fallback>
        </mc:AlternateContent>
      </w:r>
    </w:p>
    <w:p w:rsidR="0072285A" w:rsidRPr="003814FB" w:rsidRDefault="00C34231">
      <w:pPr>
        <w:jc w:val="center"/>
        <w:rPr>
          <w:b/>
          <w:sz w:val="36"/>
          <w:u w:val="single"/>
        </w:rPr>
      </w:pPr>
      <w:r>
        <w:rPr>
          <w:b/>
          <w:sz w:val="36"/>
          <w:u w:val="single"/>
        </w:rPr>
        <w:t>Domenii de cooperare consolidată</w:t>
      </w:r>
      <w:r w:rsidR="00A61F67">
        <w:rPr>
          <w:b/>
          <w:sz w:val="36"/>
          <w:u w:val="single"/>
        </w:rPr>
        <w:t xml:space="preserve"> </w:t>
      </w:r>
      <w:r>
        <w:rPr>
          <w:b/>
          <w:sz w:val="36"/>
          <w:u w:val="single"/>
        </w:rPr>
        <w:br/>
        <w:t xml:space="preserve">între Comitetul European al Regiunilor (CoR) </w:t>
      </w:r>
      <w:r w:rsidR="00790CAE">
        <w:rPr>
          <w:b/>
          <w:sz w:val="36"/>
          <w:u w:val="single"/>
        </w:rPr>
        <w:br/>
      </w:r>
      <w:r>
        <w:rPr>
          <w:b/>
          <w:sz w:val="36"/>
          <w:u w:val="single"/>
        </w:rPr>
        <w:t xml:space="preserve">și Direcția Generală Ocuparea Forței de Muncă </w:t>
      </w:r>
      <w:r w:rsidR="00790CAE">
        <w:rPr>
          <w:b/>
          <w:sz w:val="36"/>
          <w:u w:val="single"/>
        </w:rPr>
        <w:br/>
      </w:r>
      <w:r>
        <w:rPr>
          <w:b/>
          <w:sz w:val="36"/>
          <w:u w:val="single"/>
        </w:rPr>
        <w:t>și Afaceri Sociale a Comisiei Europene (DG EMPL)</w:t>
      </w:r>
    </w:p>
    <w:p w:rsidR="001C24E4" w:rsidRPr="003814FB" w:rsidRDefault="001C24E4">
      <w:pPr>
        <w:jc w:val="center"/>
        <w:rPr>
          <w:b/>
          <w:sz w:val="36"/>
          <w:szCs w:val="36"/>
          <w:u w:val="single"/>
          <w:lang w:val="en-GB"/>
        </w:rPr>
      </w:pPr>
    </w:p>
    <w:p w:rsidR="009521C5" w:rsidRPr="007D6282" w:rsidRDefault="009521C5" w:rsidP="00790CAE">
      <w:pPr>
        <w:pStyle w:val="Heading1"/>
        <w:numPr>
          <w:ilvl w:val="0"/>
          <w:numId w:val="22"/>
        </w:numPr>
        <w:ind w:left="567" w:hanging="567"/>
        <w:jc w:val="both"/>
        <w:rPr>
          <w:rFonts w:ascii="Times New Roman" w:hAnsi="Times New Roman"/>
          <w:b/>
          <w:color w:val="auto"/>
          <w:sz w:val="24"/>
        </w:rPr>
      </w:pPr>
      <w:r>
        <w:rPr>
          <w:rFonts w:ascii="Times New Roman" w:hAnsi="Times New Roman"/>
          <w:b/>
          <w:color w:val="auto"/>
          <w:sz w:val="24"/>
        </w:rPr>
        <w:t>Introducere</w:t>
      </w:r>
    </w:p>
    <w:p w:rsidR="00014693" w:rsidRPr="007D6282" w:rsidRDefault="00014693" w:rsidP="00790CAE">
      <w:pPr>
        <w:jc w:val="both"/>
        <w:rPr>
          <w:sz w:val="24"/>
          <w:szCs w:val="24"/>
          <w:lang w:val="en-GB"/>
        </w:rPr>
      </w:pPr>
    </w:p>
    <w:p w:rsidR="00014E6A" w:rsidRPr="007D6282" w:rsidRDefault="00C82EBC" w:rsidP="00790CAE">
      <w:pPr>
        <w:jc w:val="both"/>
        <w:rPr>
          <w:color w:val="000000"/>
        </w:rPr>
      </w:pPr>
      <w:r>
        <w:t>Încă de dinainte de criza provocată de pandemia de COVID-19 a fost evident că „Europa socială” se află în centrul contribuției UE la crearea unor societăți democratice, bazate pe coeziune, diverse din punct de vedere cultural și prospere. Aceasta înseamnă progres economic și social, combaterea discriminării și a excluziunii sociale, pregătirea europenilor pentru cerințele pieței forței de muncă și oferirea oportunității de a avea o viață împlinită</w:t>
      </w:r>
      <w:r w:rsidR="00014E6A" w:rsidRPr="007D6282">
        <w:rPr>
          <w:rStyle w:val="FootnoteReference"/>
          <w:lang w:val="en-GB"/>
        </w:rPr>
        <w:footnoteReference w:id="2"/>
      </w:r>
      <w:r>
        <w:t xml:space="preserve">. </w:t>
      </w:r>
    </w:p>
    <w:p w:rsidR="00014E6A" w:rsidRPr="007D6282" w:rsidRDefault="00014E6A" w:rsidP="00790CAE">
      <w:pPr>
        <w:jc w:val="both"/>
        <w:rPr>
          <w:color w:val="000000"/>
          <w:lang w:val="en-GB"/>
        </w:rPr>
      </w:pPr>
    </w:p>
    <w:p w:rsidR="00014E6A" w:rsidRPr="003814FB" w:rsidRDefault="00014E6A" w:rsidP="00790CAE">
      <w:pPr>
        <w:jc w:val="both"/>
      </w:pPr>
      <w:r>
        <w:t xml:space="preserve">Comitetul European al Regiunilor (CoR) și Direcția Generală Ocuparea Forței de Muncă, Afaceri Sociale și Incluziune (DG EMPL) au cooperat în mai multe domenii în trecut. Cu toate acestea, este evident că viitoarele provocări și interesul puternic al comisarului responsabil oferă oportunitatea de a duce la un nou nivel cooperarea dintre Comisie și CoR în acest domeniu. </w:t>
      </w:r>
    </w:p>
    <w:p w:rsidR="00014E6A" w:rsidRPr="003814FB" w:rsidRDefault="00014E6A" w:rsidP="00790CAE">
      <w:pPr>
        <w:jc w:val="both"/>
        <w:rPr>
          <w:lang w:val="en-GB"/>
        </w:rPr>
      </w:pPr>
    </w:p>
    <w:p w:rsidR="00014E6A" w:rsidRPr="007D6282" w:rsidRDefault="00014E6A" w:rsidP="00790CAE">
      <w:pPr>
        <w:pStyle w:val="ListParagraph"/>
        <w:numPr>
          <w:ilvl w:val="0"/>
          <w:numId w:val="26"/>
        </w:numPr>
        <w:ind w:left="360"/>
        <w:jc w:val="both"/>
      </w:pPr>
      <w:r>
        <w:rPr>
          <w:rFonts w:ascii="Times New Roman" w:hAnsi="Times New Roman"/>
        </w:rPr>
        <w:t xml:space="preserve">Comisarul Schmit a manifestat un interes deosebit față de CoR, participând deja, în mai puțin de un an, la două sesiuni plenare și la ședința Comisiei pentru politica socială, educație, ocuparea forței de muncă, cercetare și cultură (SEDEC). </w:t>
      </w:r>
    </w:p>
    <w:p w:rsidR="00164C40" w:rsidRPr="007D6282" w:rsidRDefault="00164C40" w:rsidP="00790CAE">
      <w:pPr>
        <w:pStyle w:val="ListParagraph"/>
        <w:numPr>
          <w:ilvl w:val="0"/>
          <w:numId w:val="26"/>
        </w:numPr>
        <w:ind w:left="360"/>
        <w:jc w:val="both"/>
      </w:pPr>
      <w:proofErr w:type="spellStart"/>
      <w:r>
        <w:rPr>
          <w:rFonts w:ascii="Times New Roman" w:hAnsi="Times New Roman"/>
        </w:rPr>
        <w:t>Joost</w:t>
      </w:r>
      <w:proofErr w:type="spellEnd"/>
      <w:r>
        <w:rPr>
          <w:rFonts w:ascii="Times New Roman" w:hAnsi="Times New Roman"/>
        </w:rPr>
        <w:t xml:space="preserve"> KORTE (directorul general al DG EMPL) a participat la ședința comisiei SEDEC din februarie 2020. Cu această ocazie, a ținut un discurs prin care i-a încurajat pe membrii CoR să ofere feedbackul solicitat de Comunicarea Comisiei intitulată „O Europă socială puternică pentru tranziții juste” (Comisia SEDEC a demarat deja elaborarea unui aviz pe această temă).</w:t>
      </w:r>
    </w:p>
    <w:p w:rsidR="00164C40" w:rsidRPr="007D6282" w:rsidRDefault="00164C40" w:rsidP="00790CAE">
      <w:pPr>
        <w:pStyle w:val="ListParagraph"/>
        <w:numPr>
          <w:ilvl w:val="0"/>
          <w:numId w:val="26"/>
        </w:numPr>
        <w:ind w:left="360"/>
        <w:jc w:val="both"/>
      </w:pPr>
      <w:r>
        <w:rPr>
          <w:rFonts w:ascii="Times New Roman" w:hAnsi="Times New Roman"/>
        </w:rPr>
        <w:t>Atât comisarul, cât și directorul general au declarat în mod clar că așteaptă din partea CoR o implicare activă în pregătirea Summitului social de la Porto (mai 2021) și a planului de acțiune pentru punerea în aplicare a Pilonului european al drepturilor sociale (PEDS).</w:t>
      </w:r>
    </w:p>
    <w:p w:rsidR="006A6308" w:rsidRPr="007D6282" w:rsidRDefault="006A6308" w:rsidP="00790CAE">
      <w:pPr>
        <w:pStyle w:val="ListParagraph"/>
        <w:numPr>
          <w:ilvl w:val="0"/>
          <w:numId w:val="26"/>
        </w:numPr>
        <w:ind w:left="360"/>
        <w:jc w:val="both"/>
      </w:pPr>
      <w:r>
        <w:rPr>
          <w:rFonts w:ascii="Times New Roman" w:hAnsi="Times New Roman"/>
        </w:rPr>
        <w:lastRenderedPageBreak/>
        <w:t>Spiritul colaborării reciproce a fost promovat în continuare în cursul reuniunii dintre comisar și președintele CoR (9 iulie). Cu această ocazie a fost confirmat faptul că ambele instituții ar trebui să găsească mai multe oportunități de cooperare.</w:t>
      </w:r>
    </w:p>
    <w:p w:rsidR="00864E4E" w:rsidRPr="003814FB" w:rsidRDefault="00864E4E" w:rsidP="00790CAE">
      <w:pPr>
        <w:jc w:val="both"/>
      </w:pPr>
      <w:r>
        <w:t>În cadrul Protocolului privind cooperarea între Comisia Europeană ș</w:t>
      </w:r>
      <w:r w:rsidR="00790CAE">
        <w:t>i Comitetul Regiunilor (2012/C </w:t>
      </w:r>
      <w:r>
        <w:t>102/02)</w:t>
      </w:r>
      <w:r w:rsidRPr="007D6282">
        <w:rPr>
          <w:lang w:val="en-GB"/>
        </w:rPr>
        <w:footnoteReference w:id="3"/>
      </w:r>
      <w:r>
        <w:t>, Comisia și Comitetul Regiunilor au fost de acord să-și intensifice colaborarea. Această notă comună a CoR și DG EMPL prezintă domeniile de politică în care se urmărește intensificarea colaborării, precum și instrumentele principale.</w:t>
      </w:r>
    </w:p>
    <w:p w:rsidR="003D208F" w:rsidRPr="00AA5F23" w:rsidRDefault="003D208F" w:rsidP="00AA5F23">
      <w:pPr>
        <w:spacing w:after="120" w:line="240" w:lineRule="auto"/>
        <w:jc w:val="both"/>
        <w:rPr>
          <w:sz w:val="20"/>
          <w:lang w:val="en-GB"/>
        </w:rPr>
      </w:pPr>
    </w:p>
    <w:p w:rsidR="00EB524C" w:rsidRPr="007D6282" w:rsidRDefault="00EA2779" w:rsidP="00790CAE">
      <w:pPr>
        <w:pStyle w:val="Heading1"/>
        <w:numPr>
          <w:ilvl w:val="0"/>
          <w:numId w:val="22"/>
        </w:numPr>
        <w:spacing w:before="0"/>
        <w:ind w:left="567" w:hanging="567"/>
        <w:jc w:val="both"/>
        <w:rPr>
          <w:rFonts w:ascii="Times New Roman" w:hAnsi="Times New Roman"/>
          <w:b/>
          <w:color w:val="auto"/>
          <w:sz w:val="24"/>
        </w:rPr>
      </w:pPr>
      <w:r>
        <w:rPr>
          <w:rFonts w:ascii="Times New Roman" w:hAnsi="Times New Roman"/>
          <w:b/>
          <w:color w:val="auto"/>
          <w:sz w:val="24"/>
        </w:rPr>
        <w:t>Temele-cheie ale unei cooperări mai strânse între CoR și DG EMPL</w:t>
      </w:r>
    </w:p>
    <w:p w:rsidR="004D765D" w:rsidRPr="00AA5F23" w:rsidRDefault="004D765D" w:rsidP="00AA5F23">
      <w:pPr>
        <w:keepNext/>
        <w:spacing w:line="240" w:lineRule="auto"/>
        <w:jc w:val="both"/>
        <w:rPr>
          <w:sz w:val="20"/>
          <w:lang w:val="en-GB"/>
        </w:rPr>
      </w:pPr>
    </w:p>
    <w:p w:rsidR="00964812" w:rsidRPr="007D6282" w:rsidRDefault="008E118B" w:rsidP="00790CAE">
      <w:pPr>
        <w:jc w:val="both"/>
      </w:pPr>
      <w:r>
        <w:t>Dată fiind sfera largă de cuprindere a temelor legate de dimensiunea socială și având în vedere resursele disponibile, este important ca această cooperare intensificată să se axeze pe domenii în care CoR poate oferi o valoare adăugată netă și în care dimensiunea teritoria</w:t>
      </w:r>
      <w:r w:rsidR="00790CAE">
        <w:t>lă este cea mai puternică. Deși </w:t>
      </w:r>
      <w:r>
        <w:t>nu este exclusă cooperarea în alte domenii, în special în promovarea economiei sociale, domeniile vizate de cooperarea consolidată sunt, prin urmare, următoarele:</w:t>
      </w:r>
    </w:p>
    <w:p w:rsidR="003D208F" w:rsidRPr="00AA5F23" w:rsidRDefault="003D208F" w:rsidP="00AA5F23">
      <w:pPr>
        <w:spacing w:after="120" w:line="240" w:lineRule="auto"/>
        <w:jc w:val="both"/>
        <w:rPr>
          <w:sz w:val="20"/>
          <w:lang w:val="en-GB"/>
        </w:rPr>
      </w:pPr>
    </w:p>
    <w:p w:rsidR="00EA2779" w:rsidRPr="007D6282" w:rsidRDefault="00EA2779" w:rsidP="00790CAE">
      <w:pPr>
        <w:pStyle w:val="Heading2"/>
        <w:jc w:val="both"/>
        <w:rPr>
          <w:rFonts w:asciiTheme="majorHAnsi" w:hAnsiTheme="majorHAnsi"/>
          <w:color w:val="365F91" w:themeColor="accent1" w:themeShade="BF"/>
        </w:rPr>
      </w:pPr>
      <w:r>
        <w:rPr>
          <w:rFonts w:ascii="Times New Roman" w:hAnsi="Times New Roman"/>
          <w:b/>
          <w:sz w:val="24"/>
          <w:szCs w:val="24"/>
        </w:rPr>
        <w:t>2.1.</w:t>
      </w:r>
      <w:r>
        <w:tab/>
      </w:r>
      <w:r>
        <w:rPr>
          <w:rFonts w:ascii="Times New Roman" w:hAnsi="Times New Roman"/>
          <w:b/>
          <w:sz w:val="24"/>
          <w:szCs w:val="32"/>
        </w:rPr>
        <w:t>Pilonul european al drepturilor sociale</w:t>
      </w:r>
    </w:p>
    <w:p w:rsidR="00EA2779" w:rsidRPr="00AA5F23" w:rsidRDefault="00EA2779" w:rsidP="00AA5F23">
      <w:pPr>
        <w:spacing w:after="120" w:line="240" w:lineRule="auto"/>
        <w:jc w:val="both"/>
        <w:rPr>
          <w:sz w:val="20"/>
          <w:lang w:val="en-GB"/>
        </w:rPr>
      </w:pPr>
    </w:p>
    <w:p w:rsidR="005366D6" w:rsidRPr="007D6282" w:rsidRDefault="005366D6" w:rsidP="00790CAE">
      <w:pPr>
        <w:jc w:val="both"/>
        <w:rPr>
          <w:szCs w:val="24"/>
        </w:rPr>
      </w:pPr>
      <w:r>
        <w:t>Pilonul european al drepturilor sociale este un document consensual care reflectă ambițiile Uniunii în domeniul ocupării forței de muncă și al afacerilor sociale.</w:t>
      </w:r>
      <w:r>
        <w:rPr>
          <w:i/>
          <w:szCs w:val="24"/>
        </w:rPr>
        <w:t xml:space="preserve"> </w:t>
      </w:r>
      <w:r>
        <w:t>El a fost proclamat la cel mai înalt nivel politic și a determinat deja adoptarea unor măsuri de anvergură la nivelul UE și la nivel național, regional și local, consolidând dimensiunea socială a UE. Prin comunicarea din 27 </w:t>
      </w:r>
      <w:r w:rsidR="00790CAE">
        <w:t>mai 2020, Comisia a pus Pilonul </w:t>
      </w:r>
      <w:r>
        <w:t>european al drepturilor sociale și în centrul foii sale de parcurs pentru o redresare echitabilă și favorabilă incluziunii în urma pandemiei de COVID-19.</w:t>
      </w:r>
    </w:p>
    <w:p w:rsidR="005366D6" w:rsidRPr="00AA5F23" w:rsidRDefault="005366D6" w:rsidP="00AA5F23">
      <w:pPr>
        <w:spacing w:line="240" w:lineRule="auto"/>
        <w:jc w:val="both"/>
        <w:rPr>
          <w:sz w:val="20"/>
          <w:szCs w:val="24"/>
          <w:lang w:val="en-GB" w:eastAsia="fr-BE"/>
        </w:rPr>
      </w:pPr>
    </w:p>
    <w:p w:rsidR="005366D6" w:rsidRPr="007D6282" w:rsidRDefault="005366D6" w:rsidP="00790CAE">
      <w:pPr>
        <w:jc w:val="both"/>
        <w:rPr>
          <w:szCs w:val="24"/>
        </w:rPr>
      </w:pPr>
      <w:r>
        <w:t xml:space="preserve">Agenda strategică pentru 2019-2024, convenită de Consiliul European în iunie 2019, solicită punerea în aplicare a pilonului la nivelul UE și al statelor membre, cu acordarea atenției cuvenite competențelor lor respective. </w:t>
      </w:r>
    </w:p>
    <w:p w:rsidR="003D208F" w:rsidRPr="00AA5F23" w:rsidRDefault="003D208F" w:rsidP="00AA5F23">
      <w:pPr>
        <w:spacing w:line="240" w:lineRule="auto"/>
        <w:jc w:val="both"/>
        <w:rPr>
          <w:sz w:val="20"/>
          <w:szCs w:val="24"/>
          <w:lang w:val="en-GB" w:eastAsia="en-GB"/>
        </w:rPr>
      </w:pPr>
    </w:p>
    <w:p w:rsidR="005366D6" w:rsidRPr="007D6282" w:rsidRDefault="005366D6" w:rsidP="00790CAE">
      <w:pPr>
        <w:jc w:val="both"/>
        <w:rPr>
          <w:szCs w:val="24"/>
        </w:rPr>
      </w:pPr>
      <w:r>
        <w:t>Orientările politice stabilite de președinta Ursula VON DER LEYEN pentru Comisie includ angajamentul de a propune un plan de acțiune pentru punerea în aplicare pe deplin a Pilonului european al drepturilor sociale. Comunicarea Comisiei din 14 ianuarie 2020 intitulată „O Europă socială puternică pentru tranziții juste” propune o serie de acțiuni-cheie pentru 2020 și 2021 și a lansat un amplu proces de consultare și implicare ce urmează să contribuie la etapa de pregătire pentru planul de acțiune. Nevoia de sprijin și protecție socială este și mai acută în context</w:t>
      </w:r>
      <w:r w:rsidR="00790CAE">
        <w:t>ul actual al pandemiei de COVID</w:t>
      </w:r>
      <w:r w:rsidR="00790CAE">
        <w:noBreakHyphen/>
      </w:r>
      <w:r>
        <w:t>19, întrucât sistemele de asistență socială ale statelor membre se confruntă cu presiuni uriașe, iar structurile sociale ale UE sunt în pericol de a se destrăma.</w:t>
      </w:r>
    </w:p>
    <w:p w:rsidR="005366D6" w:rsidRPr="00AA5F23" w:rsidRDefault="005366D6" w:rsidP="00AA5F23">
      <w:pPr>
        <w:spacing w:line="240" w:lineRule="auto"/>
        <w:jc w:val="both"/>
        <w:rPr>
          <w:sz w:val="18"/>
          <w:szCs w:val="24"/>
          <w:lang w:val="en-GB" w:eastAsia="en-GB"/>
        </w:rPr>
      </w:pPr>
    </w:p>
    <w:p w:rsidR="005366D6" w:rsidRPr="007D6282" w:rsidRDefault="005366D6" w:rsidP="00790CAE">
      <w:pPr>
        <w:autoSpaceDE w:val="0"/>
        <w:autoSpaceDN w:val="0"/>
        <w:adjustRightInd w:val="0"/>
        <w:jc w:val="both"/>
        <w:rPr>
          <w:szCs w:val="24"/>
        </w:rPr>
      </w:pPr>
      <w:r>
        <w:lastRenderedPageBreak/>
        <w:t xml:space="preserve">Obiectivul Comisiei este de a prezenta planul de acțiune la începutul anului 2021 și de a obține aprobarea acestuia la cel mai înalt nivel politic în cadrul summitului social care urmează să fie organizat în mai 2021 de către Președinția portugheză a Consiliului. </w:t>
      </w:r>
    </w:p>
    <w:p w:rsidR="00CE0C02" w:rsidRPr="007D6282" w:rsidRDefault="00CE0C02" w:rsidP="00790CAE">
      <w:pPr>
        <w:jc w:val="both"/>
        <w:rPr>
          <w:bCs/>
          <w:u w:val="single"/>
          <w:lang w:val="en-GB"/>
        </w:rPr>
      </w:pPr>
    </w:p>
    <w:p w:rsidR="00EA2779" w:rsidRPr="007D6282" w:rsidRDefault="00B40809" w:rsidP="00790CAE">
      <w:pPr>
        <w:jc w:val="both"/>
        <w:rPr>
          <w:bCs/>
        </w:rPr>
      </w:pPr>
      <w:r>
        <w:t>Este evident că autoritățile locale și regionale (ALR) au un rol important în conceperea și punerea în aplicare a politicilor sociale și a celor privind ocuparea forței de muncă în UE. Regiunile au fost afectate în moduri foarte diferite de criza provocată de pandemia de COVID-19, în funcție de structura lor economică și de riscurile în materie de sănătate. Autoritățile locale și regionale pot contribui la elaborarea și punerea în aplicare a unui răspuns la criză care să abordeze provocările pre- și post-criză la adresa coeziunii sociale și teritoriale. Prin urmare, este necesară implicarea ALR-urilor, în special prin:</w:t>
      </w:r>
    </w:p>
    <w:p w:rsidR="00CB78E1" w:rsidRPr="007D6282" w:rsidRDefault="00CB78E1" w:rsidP="00790CAE">
      <w:pPr>
        <w:jc w:val="both"/>
        <w:rPr>
          <w:bCs/>
          <w:u w:val="single"/>
          <w:lang w:val="en-GB"/>
        </w:rPr>
      </w:pPr>
    </w:p>
    <w:p w:rsidR="00CB78E1" w:rsidRPr="007D6282" w:rsidRDefault="00F771E0" w:rsidP="00790CAE">
      <w:pPr>
        <w:pStyle w:val="ListParagraph"/>
        <w:numPr>
          <w:ilvl w:val="0"/>
          <w:numId w:val="19"/>
        </w:numPr>
        <w:spacing w:after="0" w:line="288" w:lineRule="auto"/>
        <w:ind w:left="360"/>
        <w:jc w:val="both"/>
      </w:pPr>
      <w:r>
        <w:rPr>
          <w:rFonts w:ascii="Times New Roman" w:hAnsi="Times New Roman"/>
        </w:rPr>
        <w:t>Avizul CoR pe tema „O Europă socială puternică pentru tra</w:t>
      </w:r>
      <w:r w:rsidR="00790CAE">
        <w:rPr>
          <w:rFonts w:ascii="Times New Roman" w:hAnsi="Times New Roman"/>
        </w:rPr>
        <w:t>nziții juste” [raportoare: Anne </w:t>
      </w:r>
      <w:r>
        <w:rPr>
          <w:rFonts w:ascii="Times New Roman" w:hAnsi="Times New Roman"/>
        </w:rPr>
        <w:t>KARJALAINEN (FI-PSE), adoptat în sesiunea pl</w:t>
      </w:r>
      <w:r w:rsidR="00790CAE">
        <w:rPr>
          <w:rFonts w:ascii="Times New Roman" w:hAnsi="Times New Roman"/>
        </w:rPr>
        <w:t>enară din octombrie 2020], care </w:t>
      </w:r>
      <w:r>
        <w:rPr>
          <w:rFonts w:ascii="Times New Roman" w:hAnsi="Times New Roman"/>
        </w:rPr>
        <w:t>reprezintă răspunsul global al CoR la comunicarea Comisei;</w:t>
      </w:r>
    </w:p>
    <w:p w:rsidR="00421A56" w:rsidRPr="007D6282" w:rsidRDefault="00421A56" w:rsidP="00790CAE">
      <w:pPr>
        <w:pStyle w:val="ListParagraph"/>
        <w:spacing w:after="0" w:line="288" w:lineRule="auto"/>
        <w:ind w:left="360"/>
        <w:jc w:val="both"/>
        <w:rPr>
          <w:bCs/>
        </w:rPr>
      </w:pPr>
    </w:p>
    <w:p w:rsidR="00176CAE" w:rsidRPr="007D6282" w:rsidRDefault="00176CAE" w:rsidP="00790CAE">
      <w:pPr>
        <w:pStyle w:val="ListParagraph"/>
        <w:numPr>
          <w:ilvl w:val="0"/>
          <w:numId w:val="19"/>
        </w:numPr>
        <w:spacing w:after="0" w:line="288" w:lineRule="auto"/>
        <w:ind w:left="360"/>
        <w:jc w:val="both"/>
      </w:pPr>
      <w:r>
        <w:rPr>
          <w:rFonts w:ascii="Times New Roman" w:hAnsi="Times New Roman"/>
        </w:rPr>
        <w:t>Avizul CoR pe tema „Plan pentru viitorul îngrijitorilor și al serviciilor de îngrijire – oportunități la nivel local și regional pentru o provocare europeană” (raportorul urmează să fie confirmat);</w:t>
      </w:r>
    </w:p>
    <w:p w:rsidR="00E136C4" w:rsidRPr="007D6282" w:rsidRDefault="00E136C4" w:rsidP="00790CAE">
      <w:pPr>
        <w:pStyle w:val="ListParagraph"/>
        <w:spacing w:after="0" w:line="288" w:lineRule="auto"/>
        <w:ind w:left="360"/>
        <w:jc w:val="both"/>
      </w:pPr>
    </w:p>
    <w:p w:rsidR="00F771E0" w:rsidRPr="007D6282" w:rsidRDefault="00421A56" w:rsidP="00790CAE">
      <w:pPr>
        <w:pStyle w:val="ListParagraph"/>
        <w:numPr>
          <w:ilvl w:val="0"/>
          <w:numId w:val="19"/>
        </w:numPr>
        <w:spacing w:after="0" w:line="288" w:lineRule="auto"/>
        <w:ind w:left="360"/>
        <w:jc w:val="both"/>
      </w:pPr>
      <w:r>
        <w:rPr>
          <w:rFonts w:ascii="Times New Roman" w:hAnsi="Times New Roman"/>
        </w:rPr>
        <w:t>Sesiunea din cadrul ediției 2020 a Săptămânii europene a regiunilor și o</w:t>
      </w:r>
      <w:r w:rsidR="00790CAE">
        <w:rPr>
          <w:rFonts w:ascii="Times New Roman" w:hAnsi="Times New Roman"/>
        </w:rPr>
        <w:t>rașelor intitulată „Securitatea </w:t>
      </w:r>
      <w:r>
        <w:rPr>
          <w:rFonts w:ascii="Times New Roman" w:hAnsi="Times New Roman"/>
        </w:rPr>
        <w:t>socială pentru lucrătorii pe platforme digitale – provocări și oportunități”, cu participarea DG EMPL;</w:t>
      </w:r>
    </w:p>
    <w:p w:rsidR="00267B85" w:rsidRPr="007D6282" w:rsidRDefault="00267B85" w:rsidP="00790CAE">
      <w:pPr>
        <w:pStyle w:val="ListParagraph"/>
        <w:spacing w:after="0" w:line="288" w:lineRule="auto"/>
        <w:ind w:left="360"/>
        <w:jc w:val="both"/>
      </w:pPr>
    </w:p>
    <w:p w:rsidR="00512960" w:rsidRPr="007D6282" w:rsidRDefault="00F5129F" w:rsidP="00790CAE">
      <w:pPr>
        <w:pStyle w:val="ListParagraph"/>
        <w:numPr>
          <w:ilvl w:val="0"/>
          <w:numId w:val="19"/>
        </w:numPr>
        <w:spacing w:after="0" w:line="288" w:lineRule="auto"/>
        <w:ind w:left="360"/>
        <w:jc w:val="both"/>
        <w:rPr>
          <w:b/>
          <w:u w:val="single"/>
        </w:rPr>
      </w:pPr>
      <w:r>
        <w:rPr>
          <w:rFonts w:ascii="Times New Roman" w:hAnsi="Times New Roman"/>
        </w:rPr>
        <w:t>Împreună cu Președinția portugheză a Consiliului, Comisia și CoR vor explora modalități care să permită participarea CoR la summitul social, pentru a reflecta dimensiunea teritorială a punerii în aplicare a PEDS.</w:t>
      </w:r>
    </w:p>
    <w:p w:rsidR="00151730" w:rsidRPr="007D6282" w:rsidRDefault="00151730" w:rsidP="00790CAE">
      <w:pPr>
        <w:jc w:val="both"/>
        <w:rPr>
          <w:lang w:val="en-GB"/>
        </w:rPr>
      </w:pPr>
    </w:p>
    <w:p w:rsidR="00EA2779" w:rsidRPr="007D6282" w:rsidRDefault="00EA2779" w:rsidP="00790CAE">
      <w:pPr>
        <w:pStyle w:val="Heading2"/>
        <w:ind w:left="426" w:hanging="426"/>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2.2.</w:t>
      </w:r>
      <w:r>
        <w:rPr>
          <w:rFonts w:ascii="Times New Roman" w:hAnsi="Times New Roman"/>
          <w:b/>
          <w:sz w:val="24"/>
          <w:szCs w:val="24"/>
        </w:rPr>
        <w:tab/>
      </w:r>
      <w:r>
        <w:rPr>
          <w:rFonts w:ascii="Times New Roman" w:hAnsi="Times New Roman"/>
          <w:b/>
          <w:sz w:val="24"/>
          <w:szCs w:val="32"/>
        </w:rPr>
        <w:t>Pregătirea Fondului social european Plus (FSE+) și a REACT-EU pentru a asigura o finanțare adecvată pentru măsurile de încadrare în muncă a tinerilor</w:t>
      </w:r>
    </w:p>
    <w:p w:rsidR="00527019" w:rsidRPr="007D6282" w:rsidRDefault="00527019" w:rsidP="00790CAE">
      <w:pPr>
        <w:keepNext/>
        <w:jc w:val="both"/>
        <w:rPr>
          <w:lang w:val="en-GB"/>
        </w:rPr>
      </w:pPr>
    </w:p>
    <w:p w:rsidR="00527019" w:rsidRPr="007D6282" w:rsidRDefault="00527019" w:rsidP="00790CAE">
      <w:pPr>
        <w:jc w:val="both"/>
        <w:rPr>
          <w:bCs/>
        </w:rPr>
      </w:pPr>
      <w:r>
        <w:t>În prezent, multe ALR sunt implicate intens în pregătirea viitoarelor programe FSE+ și în elaborarea de proiecte care să beneficieze de finanțare din partea FSE+. În ceea ce privește FSE+, Comisia a propus ca finanțarea măsurilor de ocupare a forței de muncă în rândul tinerilor să fie accelerată în statele membre care au o rată a tinerilor ce nu sunt încadrați profesional și nu urmează niciun program educațional sau de formare peste media UE</w:t>
      </w:r>
      <w:r w:rsidR="006E25E8" w:rsidRPr="007D6282">
        <w:rPr>
          <w:rStyle w:val="FootnoteReference"/>
          <w:bCs/>
          <w:sz w:val="24"/>
          <w:szCs w:val="24"/>
          <w:lang w:val="en-GB"/>
        </w:rPr>
        <w:footnoteReference w:id="4"/>
      </w:r>
      <w:r>
        <w:t>. În plus, noul REACT-EU poate sprijini măsurile de ocupare a forței de muncă în rândul tinerilor. Necesitatea de a fructifica pe deplin avantajele acestui sprijin suplimentar este esențială în contextul actualei pandemii și al posibilului impact pe care l-ar putea avea asupra încadrării în muncă a tinerilor.</w:t>
      </w:r>
    </w:p>
    <w:p w:rsidR="00CB78E1" w:rsidRPr="007D6282" w:rsidRDefault="00CB78E1" w:rsidP="00790CAE">
      <w:pPr>
        <w:jc w:val="both"/>
        <w:rPr>
          <w:bCs/>
          <w:u w:val="single"/>
          <w:lang w:val="en-GB"/>
        </w:rPr>
      </w:pPr>
    </w:p>
    <w:p w:rsidR="00AE28C2" w:rsidRPr="007D6282" w:rsidRDefault="00F52BD7" w:rsidP="00790CAE">
      <w:pPr>
        <w:jc w:val="both"/>
        <w:rPr>
          <w:bCs/>
        </w:rPr>
      </w:pPr>
      <w:r>
        <w:t>CoR ar putea facilita schimbul de informații și de bune practici în ceea ce privește finanțarea din partea REACT-EU și a FSE+ acordată pentru sprijinirea măsurilor de ocupare a forței de muncă în rândul tinerilor. Acest ajutor financiar va contribui la obiectivul general al UE de a dedica cel puțin 22 miliarde EUR acestui obiectiv</w:t>
      </w:r>
      <w:r w:rsidR="008911F1" w:rsidRPr="007D6282">
        <w:rPr>
          <w:rStyle w:val="FootnoteReference"/>
          <w:bCs/>
          <w:sz w:val="24"/>
          <w:szCs w:val="24"/>
          <w:lang w:val="en-GB"/>
        </w:rPr>
        <w:footnoteReference w:id="5"/>
      </w:r>
      <w:r>
        <w:t xml:space="preserve"> și de a constitui elementul de finanțare al Garanției pentru tineret consolidate</w:t>
      </w:r>
      <w:r w:rsidR="008911F1" w:rsidRPr="007D6282">
        <w:rPr>
          <w:rStyle w:val="FootnoteReference"/>
          <w:bCs/>
          <w:sz w:val="24"/>
          <w:szCs w:val="24"/>
          <w:lang w:val="en-GB"/>
        </w:rPr>
        <w:footnoteReference w:id="6"/>
      </w:r>
      <w:r>
        <w:t xml:space="preserve">. </w:t>
      </w:r>
    </w:p>
    <w:p w:rsidR="00AE28C2" w:rsidRPr="007D6282" w:rsidRDefault="00AE28C2" w:rsidP="00790CAE">
      <w:pPr>
        <w:jc w:val="both"/>
        <w:rPr>
          <w:bCs/>
          <w:u w:val="single"/>
          <w:lang w:val="en-GB"/>
        </w:rPr>
      </w:pPr>
    </w:p>
    <w:p w:rsidR="006106B7" w:rsidRPr="007D6282" w:rsidRDefault="002867F1" w:rsidP="00790CAE">
      <w:pPr>
        <w:jc w:val="both"/>
        <w:rPr>
          <w:bCs/>
        </w:rPr>
      </w:pPr>
      <w:r>
        <w:t xml:space="preserve">În spiritul principiului de parteneriat, CoR ar putea promova dialogul dintre ALR în ceea ce privește dezvoltarea de concepte menite să combată șomajul în rândul tinerilor, în strânsă colaborare cu partenerii sociali, și ar putea deveni o platformă de schimb de idei și de politici între regiuni și orașe. </w:t>
      </w:r>
    </w:p>
    <w:p w:rsidR="006106B7" w:rsidRPr="007D6282" w:rsidRDefault="006106B7" w:rsidP="00790CAE">
      <w:pPr>
        <w:jc w:val="both"/>
        <w:rPr>
          <w:bCs/>
          <w:lang w:val="en-GB"/>
        </w:rPr>
      </w:pPr>
    </w:p>
    <w:p w:rsidR="00527019" w:rsidRPr="003814FB" w:rsidRDefault="006106B7" w:rsidP="00790CAE">
      <w:pPr>
        <w:jc w:val="both"/>
      </w:pPr>
      <w:r>
        <w:t>Astfel, CoR ar putea asigura o monitorizare semnificativă a Comunicări</w:t>
      </w:r>
      <w:r w:rsidR="00790CAE">
        <w:t>i Comisiei pe tema „Sprijinirea </w:t>
      </w:r>
      <w:r>
        <w:t>ocupării forței de muncă în rândul tinerilor: o punte către locuri de muncă pentru generația viitoare”</w:t>
      </w:r>
      <w:r w:rsidR="00150CCB" w:rsidRPr="007D6282">
        <w:rPr>
          <w:rStyle w:val="FootnoteReference"/>
          <w:sz w:val="24"/>
          <w:szCs w:val="24"/>
          <w:lang w:val="en-GB"/>
        </w:rPr>
        <w:footnoteReference w:id="7"/>
      </w:r>
      <w:r>
        <w:t xml:space="preserve"> și s-ar putea organiza reuniuni suplimentare între DG EMPL și CoR. </w:t>
      </w:r>
    </w:p>
    <w:p w:rsidR="00F165DD" w:rsidRPr="007D6282" w:rsidRDefault="00F165DD" w:rsidP="00790CAE">
      <w:pPr>
        <w:jc w:val="both"/>
        <w:rPr>
          <w:bCs/>
          <w:lang w:val="en-GB"/>
        </w:rPr>
      </w:pPr>
    </w:p>
    <w:p w:rsidR="00CB78E1" w:rsidRPr="007D6282" w:rsidRDefault="00CB78E1" w:rsidP="00790CAE">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2.3. </w:t>
      </w:r>
      <w:r>
        <w:rPr>
          <w:rFonts w:ascii="Times New Roman" w:hAnsi="Times New Roman"/>
          <w:b/>
          <w:sz w:val="24"/>
          <w:szCs w:val="24"/>
        </w:rPr>
        <w:tab/>
      </w:r>
      <w:r>
        <w:rPr>
          <w:rFonts w:ascii="Times New Roman" w:hAnsi="Times New Roman"/>
          <w:b/>
          <w:sz w:val="24"/>
          <w:szCs w:val="32"/>
        </w:rPr>
        <w:t xml:space="preserve">Agenda pentru competențe </w:t>
      </w:r>
    </w:p>
    <w:p w:rsidR="006106B7" w:rsidRPr="007D6282" w:rsidRDefault="006106B7" w:rsidP="00790CAE">
      <w:pPr>
        <w:keepNext/>
        <w:jc w:val="both"/>
        <w:rPr>
          <w:rFonts w:eastAsiaTheme="majorEastAsia"/>
          <w:lang w:val="en-GB"/>
        </w:rPr>
      </w:pPr>
    </w:p>
    <w:p w:rsidR="006106B7" w:rsidRPr="007D6282" w:rsidRDefault="00EE2DE9" w:rsidP="00790CAE">
      <w:pPr>
        <w:jc w:val="both"/>
      </w:pPr>
      <w:r>
        <w:t xml:space="preserve">Impactul pandemiei asupra modului în care lucrăm și dubla tranziție către o economie digitală și verde creează o adevărată schimbare de paradigmă în ce privește competențele în UE. Prin urmare, este esențial să se promoveze și să se coreleze perspectiva locală asupra competențelor, astfel cum se prevede în recentul document „European </w:t>
      </w:r>
      <w:proofErr w:type="spellStart"/>
      <w:r>
        <w:t>Skills</w:t>
      </w:r>
      <w:proofErr w:type="spellEnd"/>
      <w:r>
        <w:t xml:space="preserve"> Agenda for </w:t>
      </w:r>
      <w:proofErr w:type="spellStart"/>
      <w:r>
        <w:t>Sust</w:t>
      </w:r>
      <w:r w:rsidR="00790CAE">
        <w:t>ainable</w:t>
      </w:r>
      <w:proofErr w:type="spellEnd"/>
      <w:r w:rsidR="00790CAE">
        <w:t xml:space="preserve"> </w:t>
      </w:r>
      <w:proofErr w:type="spellStart"/>
      <w:r w:rsidR="00790CAE">
        <w:t>Competitiveness</w:t>
      </w:r>
      <w:proofErr w:type="spellEnd"/>
      <w:r w:rsidR="00790CAE">
        <w:t>, Social </w:t>
      </w:r>
      <w:proofErr w:type="spellStart"/>
      <w:r>
        <w:t>Fairness</w:t>
      </w:r>
      <w:proofErr w:type="spellEnd"/>
      <w:r>
        <w:t xml:space="preserve"> </w:t>
      </w:r>
      <w:proofErr w:type="spellStart"/>
      <w:r>
        <w:t>and</w:t>
      </w:r>
      <w:proofErr w:type="spellEnd"/>
      <w:r>
        <w:t xml:space="preserve"> </w:t>
      </w:r>
      <w:proofErr w:type="spellStart"/>
      <w:r>
        <w:t>Resilience</w:t>
      </w:r>
      <w:proofErr w:type="spellEnd"/>
      <w:r>
        <w:t>” (Agenda pentru competențe în Europa în vederea obținerii competitivității durabile, a echității sociale și a rezilienței)</w:t>
      </w:r>
      <w:r w:rsidR="002867F1" w:rsidRPr="007D6282">
        <w:rPr>
          <w:rStyle w:val="FootnoteReference"/>
          <w:bCs/>
          <w:sz w:val="24"/>
          <w:szCs w:val="24"/>
          <w:lang w:val="en-GB"/>
        </w:rPr>
        <w:footnoteReference w:id="8"/>
      </w:r>
      <w:r>
        <w:t>. Colaborarea la nivel local poate maximiza implicarea partenerilor locali, precum IMM-urile, favorizând totodată o mai bună înțelegere a necesităților de pe piețele forței de muncă de la nivel local și explorarea sinergiilor cu alte strategii locale și regionale. Mai mult decât atât, perspectiva locală și regională ar putea contribui la realizarea unor analize prospective calitative și a unor previziuni cantitative în ceea ce privește competențele, care la rândul lor se pot dezvolta într-un model sau o metodă de anticipare a competențelor care poate fi utilizat(ă) pentru viitoarea planificare sau elaborare a politicilor.</w:t>
      </w:r>
    </w:p>
    <w:p w:rsidR="006106B7" w:rsidRPr="007D6282" w:rsidRDefault="006106B7" w:rsidP="00790CAE">
      <w:pPr>
        <w:jc w:val="both"/>
        <w:rPr>
          <w:bCs/>
          <w:lang w:val="en-GB"/>
        </w:rPr>
      </w:pPr>
    </w:p>
    <w:p w:rsidR="00421A56" w:rsidRPr="007D6282" w:rsidRDefault="00150CCB" w:rsidP="00AA5F23">
      <w:pPr>
        <w:keepNext/>
        <w:keepLines/>
        <w:jc w:val="both"/>
        <w:rPr>
          <w:bCs/>
        </w:rPr>
      </w:pPr>
      <w:r>
        <w:t>O colaborare mai intensă poate fi obținută prin următoarele măsuri:</w:t>
      </w:r>
    </w:p>
    <w:p w:rsidR="000A7400" w:rsidRPr="007D6282" w:rsidRDefault="000A7400" w:rsidP="00AA5F23">
      <w:pPr>
        <w:pStyle w:val="ListParagraph"/>
        <w:keepNext/>
        <w:keepLines/>
        <w:spacing w:after="0" w:line="240" w:lineRule="auto"/>
        <w:ind w:left="360"/>
        <w:jc w:val="both"/>
        <w:rPr>
          <w:rStyle w:val="normaltextrun"/>
        </w:rPr>
      </w:pPr>
    </w:p>
    <w:p w:rsidR="000A7400" w:rsidRPr="007D6282" w:rsidRDefault="00151730" w:rsidP="00AA5F23">
      <w:pPr>
        <w:pStyle w:val="ListParagraph"/>
        <w:keepNext/>
        <w:keepLines/>
        <w:numPr>
          <w:ilvl w:val="0"/>
          <w:numId w:val="32"/>
        </w:numPr>
        <w:spacing w:after="0" w:line="288" w:lineRule="auto"/>
        <w:jc w:val="both"/>
        <w:rPr>
          <w:rStyle w:val="normaltextrun"/>
        </w:rPr>
      </w:pPr>
      <w:r>
        <w:rPr>
          <w:rStyle w:val="normaltextrun"/>
        </w:rPr>
        <w:t>promovarea comună a Pactului pentru competențe, ca modalitate prin care regiunile pot crea parteneriate cu industria și furnizorii de servicii de formare privind perfecționarea și recalificarea profesională a populației locale;</w:t>
      </w:r>
    </w:p>
    <w:p w:rsidR="000A7400" w:rsidRPr="007D6282" w:rsidRDefault="000A7400" w:rsidP="00AA5F23">
      <w:pPr>
        <w:pStyle w:val="ListParagraph"/>
        <w:spacing w:after="0" w:line="240" w:lineRule="auto"/>
        <w:ind w:left="360"/>
        <w:jc w:val="both"/>
        <w:rPr>
          <w:rStyle w:val="normaltextrun"/>
        </w:rPr>
      </w:pPr>
    </w:p>
    <w:p w:rsidR="00421A56" w:rsidRPr="007D6282" w:rsidRDefault="000A7400" w:rsidP="00790CAE">
      <w:pPr>
        <w:pStyle w:val="ListParagraph"/>
        <w:numPr>
          <w:ilvl w:val="0"/>
          <w:numId w:val="32"/>
        </w:numPr>
        <w:spacing w:after="0" w:line="288" w:lineRule="auto"/>
        <w:jc w:val="both"/>
        <w:rPr>
          <w:rStyle w:val="normaltextrun"/>
        </w:rPr>
      </w:pPr>
      <w:r>
        <w:rPr>
          <w:rStyle w:val="normaltextrun"/>
        </w:rPr>
        <w:t>Conferința la înalt nivel privind uceniciile coorganizată împreu</w:t>
      </w:r>
      <w:r w:rsidR="00790CAE">
        <w:rPr>
          <w:rStyle w:val="normaltextrun"/>
        </w:rPr>
        <w:t>nă cu DG EMPL intitulată „Rolul </w:t>
      </w:r>
      <w:r>
        <w:rPr>
          <w:rStyle w:val="normaltextrun"/>
        </w:rPr>
        <w:t>regiunilor și al orașelor în furnizarea unor programe de ucenicie de înaltă calitate” prevăzută să aibă loc, ca urmare a pandemiei de COVID-19, în primăvara anului 2021, cu alte evenimente online din foaia de parcurs care anunță conferința principală:</w:t>
      </w:r>
    </w:p>
    <w:p w:rsidR="000A7400" w:rsidRPr="007D6282" w:rsidRDefault="000A7400" w:rsidP="00AA5F23">
      <w:pPr>
        <w:spacing w:line="240" w:lineRule="auto"/>
        <w:jc w:val="both"/>
        <w:rPr>
          <w:rStyle w:val="normaltextrun"/>
          <w:lang w:val="en-GB"/>
        </w:rPr>
      </w:pPr>
    </w:p>
    <w:tbl>
      <w:tblPr>
        <w:tblW w:w="0" w:type="auto"/>
        <w:tblInd w:w="416" w:type="dxa"/>
        <w:tblCellMar>
          <w:left w:w="0" w:type="dxa"/>
          <w:right w:w="0" w:type="dxa"/>
        </w:tblCellMar>
        <w:tblLook w:val="04A0" w:firstRow="1" w:lastRow="0" w:firstColumn="1" w:lastColumn="0" w:noHBand="0" w:noVBand="1"/>
      </w:tblPr>
      <w:tblGrid>
        <w:gridCol w:w="2268"/>
        <w:gridCol w:w="3969"/>
        <w:gridCol w:w="2352"/>
      </w:tblGrid>
      <w:tr w:rsidR="004B58E0" w:rsidRPr="00790CAE" w:rsidTr="00AA5F23">
        <w:tc>
          <w:tcPr>
            <w:tcW w:w="2268"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790CAE" w:rsidRDefault="000A7400" w:rsidP="00790CAE">
            <w:pPr>
              <w:jc w:val="both"/>
              <w:rPr>
                <w:b/>
                <w:bCs/>
                <w:color w:val="FFFFFF"/>
                <w:sz w:val="20"/>
              </w:rPr>
            </w:pPr>
            <w:r w:rsidRPr="00790CAE">
              <w:rPr>
                <w:b/>
                <w:bCs/>
                <w:color w:val="FFFFFF"/>
                <w:sz w:val="20"/>
              </w:rPr>
              <w:t>Data</w:t>
            </w:r>
          </w:p>
        </w:tc>
        <w:tc>
          <w:tcPr>
            <w:tcW w:w="39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90CAE" w:rsidRDefault="000A7400" w:rsidP="00790CAE">
            <w:pPr>
              <w:jc w:val="both"/>
              <w:rPr>
                <w:rFonts w:ascii="Calibri" w:hAnsi="Calibri" w:cs="Calibri"/>
                <w:b/>
                <w:bCs/>
                <w:color w:val="FFFFFF"/>
                <w:sz w:val="20"/>
              </w:rPr>
            </w:pPr>
            <w:r w:rsidRPr="00790CAE">
              <w:rPr>
                <w:b/>
                <w:bCs/>
                <w:color w:val="FFFFFF"/>
                <w:sz w:val="20"/>
              </w:rPr>
              <w:t>Webinare/conferințe</w:t>
            </w:r>
          </w:p>
        </w:tc>
        <w:tc>
          <w:tcPr>
            <w:tcW w:w="2352"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90CAE" w:rsidRDefault="000A7400" w:rsidP="00790CAE">
            <w:pPr>
              <w:jc w:val="both"/>
              <w:rPr>
                <w:b/>
                <w:bCs/>
                <w:color w:val="FFFFFF"/>
                <w:sz w:val="20"/>
              </w:rPr>
            </w:pPr>
            <w:r w:rsidRPr="00790CAE">
              <w:rPr>
                <w:b/>
                <w:bCs/>
                <w:color w:val="FFFFFF"/>
                <w:sz w:val="20"/>
              </w:rPr>
              <w:t>Tema</w:t>
            </w:r>
          </w:p>
        </w:tc>
      </w:tr>
      <w:tr w:rsidR="004B58E0" w:rsidRPr="00790CAE" w:rsidTr="00AA5F23">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Joi, 29 septembrie 2020</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 xml:space="preserve">Primul webinar online: </w:t>
            </w:r>
            <w:r w:rsidR="00AA5F23">
              <w:rPr>
                <w:i/>
                <w:iCs/>
                <w:sz w:val="20"/>
              </w:rPr>
              <w:t>Impactul pandemiei de COVID</w:t>
            </w:r>
            <w:r w:rsidR="00AA5F23">
              <w:rPr>
                <w:i/>
                <w:iCs/>
                <w:sz w:val="20"/>
              </w:rPr>
              <w:noBreakHyphen/>
            </w:r>
            <w:r w:rsidRPr="00790CAE">
              <w:rPr>
                <w:i/>
                <w:iCs/>
                <w:sz w:val="20"/>
              </w:rPr>
              <w:t>19 asupra uceniciilor. Rolul regiunilor și al orașelor.</w:t>
            </w:r>
            <w:r w:rsidRPr="00790CAE">
              <w:rPr>
                <w:sz w:val="20"/>
              </w:rPr>
              <w:t xml:space="preserve"> </w:t>
            </w:r>
          </w:p>
        </w:tc>
        <w:tc>
          <w:tcPr>
            <w:tcW w:w="2352"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În prim-plan, răspunsul la criza provocată de pandemia de COVID</w:t>
            </w:r>
            <w:r w:rsidR="00790CAE" w:rsidRPr="00790CAE">
              <w:rPr>
                <w:sz w:val="20"/>
              </w:rPr>
              <w:noBreakHyphen/>
            </w:r>
            <w:r w:rsidRPr="00790CAE">
              <w:rPr>
                <w:sz w:val="20"/>
              </w:rPr>
              <w:t>19</w:t>
            </w:r>
          </w:p>
        </w:tc>
      </w:tr>
      <w:tr w:rsidR="004B58E0" w:rsidRPr="00790CAE" w:rsidTr="00AA5F23">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Ianuarie/februarie 2021</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 xml:space="preserve">Al doilea webinar online: </w:t>
            </w:r>
            <w:r w:rsidRPr="00790CAE">
              <w:rPr>
                <w:i/>
                <w:iCs/>
                <w:sz w:val="20"/>
              </w:rPr>
              <w:t>Dubla tranziție – Rolul orașelor în furnizarea unor programe de ucenicie de înaltă calitate</w:t>
            </w:r>
          </w:p>
        </w:tc>
        <w:tc>
          <w:tcPr>
            <w:tcW w:w="2352"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În prim-plan, dubla tranziție – tranziția verde și tranziția digitală</w:t>
            </w:r>
          </w:p>
        </w:tc>
      </w:tr>
      <w:tr w:rsidR="004B58E0" w:rsidRPr="00790CAE" w:rsidTr="00AA5F23">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Martie/aprilie 2021</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 xml:space="preserve">Al treilea webinar online: </w:t>
            </w:r>
            <w:r w:rsidRPr="00790CAE">
              <w:rPr>
                <w:i/>
                <w:iCs/>
                <w:sz w:val="20"/>
              </w:rPr>
              <w:t>O dublă tranziție – Rolul regiunilor în furnizarea unor programe de ucenicie de înaltă calitate</w:t>
            </w:r>
          </w:p>
        </w:tc>
        <w:tc>
          <w:tcPr>
            <w:tcW w:w="2352"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 xml:space="preserve">În prim-plan, dubla tranziție – tranziția verde și tranziția digitală </w:t>
            </w:r>
          </w:p>
        </w:tc>
      </w:tr>
      <w:tr w:rsidR="004B58E0" w:rsidRPr="00790CAE" w:rsidTr="00AA5F23">
        <w:tc>
          <w:tcPr>
            <w:tcW w:w="2268"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790CAE" w:rsidRDefault="000A7400" w:rsidP="00790CAE">
            <w:pPr>
              <w:rPr>
                <w:sz w:val="20"/>
              </w:rPr>
            </w:pPr>
            <w:r w:rsidRPr="00790CAE">
              <w:rPr>
                <w:sz w:val="20"/>
              </w:rPr>
              <w:t>3-4 iunie 2021 (DE</w:t>
            </w:r>
            <w:r w:rsidR="00790CAE">
              <w:rPr>
                <w:sz w:val="20"/>
              </w:rPr>
              <w:t> </w:t>
            </w:r>
            <w:r w:rsidRPr="00790CAE">
              <w:rPr>
                <w:sz w:val="20"/>
              </w:rPr>
              <w:t>CONFIRMAT)</w:t>
            </w:r>
          </w:p>
        </w:tc>
        <w:tc>
          <w:tcPr>
            <w:tcW w:w="39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90CAE" w:rsidRDefault="000A7400" w:rsidP="00790CAE">
            <w:pPr>
              <w:jc w:val="both"/>
              <w:rPr>
                <w:sz w:val="20"/>
              </w:rPr>
            </w:pPr>
            <w:r w:rsidRPr="00790CAE">
              <w:rPr>
                <w:sz w:val="20"/>
              </w:rPr>
              <w:t xml:space="preserve">Conferința principală </w:t>
            </w:r>
          </w:p>
        </w:tc>
        <w:tc>
          <w:tcPr>
            <w:tcW w:w="2352"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90CAE" w:rsidRDefault="000A7400" w:rsidP="00790CAE">
            <w:pPr>
              <w:jc w:val="both"/>
              <w:rPr>
                <w:sz w:val="20"/>
              </w:rPr>
            </w:pPr>
            <w:r w:rsidRPr="00790CAE">
              <w:rPr>
                <w:sz w:val="20"/>
              </w:rPr>
              <w:t>DE CONFIRMAT</w:t>
            </w:r>
          </w:p>
        </w:tc>
      </w:tr>
      <w:tr w:rsidR="004B58E0" w:rsidRPr="00790CAE" w:rsidTr="00AA5F23">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DE CONFIRMAT</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Reuniuni (online) de monitorizare</w:t>
            </w:r>
          </w:p>
        </w:tc>
        <w:tc>
          <w:tcPr>
            <w:tcW w:w="2352"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0CAE" w:rsidRDefault="000A7400" w:rsidP="00790CAE">
            <w:pPr>
              <w:jc w:val="both"/>
              <w:rPr>
                <w:sz w:val="20"/>
              </w:rPr>
            </w:pPr>
            <w:r w:rsidRPr="00790CAE">
              <w:rPr>
                <w:sz w:val="20"/>
              </w:rPr>
              <w:t>DE CONFIRMAT</w:t>
            </w:r>
          </w:p>
        </w:tc>
      </w:tr>
    </w:tbl>
    <w:p w:rsidR="002D435E" w:rsidRPr="007D6282" w:rsidRDefault="002D435E" w:rsidP="00AA5F23">
      <w:pPr>
        <w:pStyle w:val="ListParagraph"/>
        <w:spacing w:after="0" w:line="240" w:lineRule="auto"/>
        <w:ind w:left="360"/>
        <w:jc w:val="both"/>
        <w:rPr>
          <w:rStyle w:val="normaltextrun"/>
        </w:rPr>
      </w:pPr>
    </w:p>
    <w:p w:rsidR="002D435E" w:rsidRPr="007D6282" w:rsidRDefault="00151730" w:rsidP="00790CAE">
      <w:pPr>
        <w:pStyle w:val="ListParagraph"/>
        <w:numPr>
          <w:ilvl w:val="0"/>
          <w:numId w:val="32"/>
        </w:numPr>
        <w:spacing w:after="0" w:line="288" w:lineRule="auto"/>
        <w:jc w:val="both"/>
        <w:rPr>
          <w:rFonts w:ascii="Times New Roman" w:hAnsi="Times New Roman" w:cs="Times New Roman"/>
        </w:rPr>
      </w:pPr>
      <w:r>
        <w:t xml:space="preserve">o cooperare sporită va fi urmărită în cadrul pregătirilor avizului pe tema „European </w:t>
      </w:r>
      <w:proofErr w:type="spellStart"/>
      <w:r>
        <w:t>Skills</w:t>
      </w:r>
      <w:proofErr w:type="spellEnd"/>
      <w:r>
        <w:t xml:space="preserve"> Agenda for </w:t>
      </w:r>
      <w:proofErr w:type="spellStart"/>
      <w:r>
        <w:t>Sustainable</w:t>
      </w:r>
      <w:proofErr w:type="spellEnd"/>
      <w:r>
        <w:t xml:space="preserve"> </w:t>
      </w:r>
      <w:proofErr w:type="spellStart"/>
      <w:r>
        <w:t>Competitiveness</w:t>
      </w:r>
      <w:proofErr w:type="spellEnd"/>
      <w:r>
        <w:t xml:space="preserve">, Social </w:t>
      </w:r>
      <w:proofErr w:type="spellStart"/>
      <w:r>
        <w:t>Fairness</w:t>
      </w:r>
      <w:proofErr w:type="spellEnd"/>
      <w:r>
        <w:t xml:space="preserve"> </w:t>
      </w:r>
      <w:proofErr w:type="spellStart"/>
      <w:r>
        <w:t>and</w:t>
      </w:r>
      <w:proofErr w:type="spellEnd"/>
      <w:r>
        <w:t xml:space="preserve"> </w:t>
      </w:r>
      <w:proofErr w:type="spellStart"/>
      <w:r>
        <w:t>Resilience</w:t>
      </w:r>
      <w:proofErr w:type="spellEnd"/>
      <w:r>
        <w:t>” (Agenda pentru competențe în Europa în vederea obținerii competitivității durabile, a echității soci</w:t>
      </w:r>
      <w:r w:rsidR="00790CAE">
        <w:t>ale și a rezilienței) (raportor </w:t>
      </w:r>
      <w:r>
        <w:t>Csaba BORBOLY, RO-PPE);</w:t>
      </w:r>
      <w:r>
        <w:rPr>
          <w:rFonts w:ascii="Times New Roman" w:hAnsi="Times New Roman"/>
        </w:rPr>
        <w:t xml:space="preserve"> </w:t>
      </w:r>
    </w:p>
    <w:p w:rsidR="00F165DD" w:rsidRPr="007D6282" w:rsidRDefault="00F165DD" w:rsidP="00AA5F23">
      <w:pPr>
        <w:pStyle w:val="ListParagraph"/>
        <w:spacing w:after="0" w:line="240" w:lineRule="auto"/>
        <w:ind w:left="360"/>
        <w:jc w:val="both"/>
      </w:pPr>
    </w:p>
    <w:p w:rsidR="00176CAE" w:rsidRPr="007D6282" w:rsidRDefault="00151730" w:rsidP="00790CAE">
      <w:pPr>
        <w:pStyle w:val="ListParagraph"/>
        <w:numPr>
          <w:ilvl w:val="0"/>
          <w:numId w:val="32"/>
        </w:numPr>
        <w:spacing w:after="0" w:line="288" w:lineRule="auto"/>
        <w:jc w:val="both"/>
        <w:rPr>
          <w:rFonts w:ascii="Times New Roman" w:hAnsi="Times New Roman" w:cs="Times New Roman"/>
        </w:rPr>
      </w:pPr>
      <w:r>
        <w:rPr>
          <w:rFonts w:ascii="Times New Roman" w:hAnsi="Times New Roman"/>
        </w:rPr>
        <w:t>colaborarea cu Alianța europeană pentru ucenicii (</w:t>
      </w:r>
      <w:proofErr w:type="spellStart"/>
      <w:r>
        <w:rPr>
          <w:rFonts w:ascii="Times New Roman" w:hAnsi="Times New Roman"/>
        </w:rPr>
        <w:t>EAfA</w:t>
      </w:r>
      <w:proofErr w:type="spellEnd"/>
      <w:r>
        <w:rPr>
          <w:rFonts w:ascii="Times New Roman" w:hAnsi="Times New Roman"/>
        </w:rPr>
        <w:t xml:space="preserve">). CoR și </w:t>
      </w:r>
      <w:proofErr w:type="spellStart"/>
      <w:r>
        <w:rPr>
          <w:rFonts w:ascii="Times New Roman" w:hAnsi="Times New Roman"/>
        </w:rPr>
        <w:t>EAfA</w:t>
      </w:r>
      <w:proofErr w:type="spellEnd"/>
      <w:r>
        <w:rPr>
          <w:rFonts w:ascii="Times New Roman" w:hAnsi="Times New Roman"/>
        </w:rPr>
        <w:t xml:space="preserve"> ar putea colabora și cu privire la una dintre prioritățile angajamentului reînnoit al </w:t>
      </w:r>
      <w:proofErr w:type="spellStart"/>
      <w:r>
        <w:rPr>
          <w:rFonts w:ascii="Times New Roman" w:hAnsi="Times New Roman"/>
        </w:rPr>
        <w:t>EAfA</w:t>
      </w:r>
      <w:proofErr w:type="spellEnd"/>
      <w:r>
        <w:rPr>
          <w:rFonts w:ascii="Times New Roman" w:hAnsi="Times New Roman"/>
        </w:rPr>
        <w:t xml:space="preserve"> privind „mobilizarea autorităților locale și regionale în calitatea lor de catalizatori ai programelor de ucenicie în mediul de afaceri local”. Un exemplu este participarea noii Rețele a orașelor pentru ucenicii la webinarele comune </w:t>
      </w:r>
      <w:proofErr w:type="spellStart"/>
      <w:r>
        <w:rPr>
          <w:rFonts w:ascii="Times New Roman" w:hAnsi="Times New Roman"/>
        </w:rPr>
        <w:t>EAfA</w:t>
      </w:r>
      <w:proofErr w:type="spellEnd"/>
      <w:r>
        <w:rPr>
          <w:rFonts w:ascii="Times New Roman" w:hAnsi="Times New Roman"/>
        </w:rPr>
        <w:t>/CoR. Unul dintre obiectivele principale ale rețelei va fi creșterea gradului de conștientizare a potențialului pe care îl au orașele de a sprijini uceniciile. În ultimă instanță, prin intermediul rețelei, orașele vor putea învăța unele de la altele, vor putea colabora, dezvolta instrumente, partaja bune practici și furniza și primi asistență tehnică și în materie de politici.</w:t>
      </w:r>
      <w:r w:rsidR="00AA5F23">
        <w:rPr>
          <w:rFonts w:ascii="Times New Roman" w:hAnsi="Times New Roman"/>
        </w:rPr>
        <w:t xml:space="preserve"> </w:t>
      </w:r>
    </w:p>
    <w:p w:rsidR="00C34231" w:rsidRPr="003814FB" w:rsidRDefault="00C34231" w:rsidP="00AA5F23">
      <w:pPr>
        <w:spacing w:line="240" w:lineRule="auto"/>
        <w:jc w:val="both"/>
        <w:rPr>
          <w:rFonts w:eastAsiaTheme="majorEastAsia"/>
          <w:lang w:val="en-GB"/>
        </w:rPr>
      </w:pPr>
    </w:p>
    <w:p w:rsidR="003D64D4" w:rsidRPr="007D6282" w:rsidRDefault="00025C0A" w:rsidP="00AA5F23">
      <w:pPr>
        <w:pStyle w:val="Heading2"/>
        <w:keepNext/>
        <w:keepLines/>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2.4. </w:t>
      </w:r>
      <w:r>
        <w:rPr>
          <w:rFonts w:ascii="Times New Roman" w:hAnsi="Times New Roman"/>
          <w:b/>
          <w:sz w:val="24"/>
          <w:szCs w:val="24"/>
        </w:rPr>
        <w:tab/>
      </w:r>
      <w:r>
        <w:rPr>
          <w:rFonts w:ascii="Times New Roman" w:hAnsi="Times New Roman"/>
          <w:b/>
          <w:sz w:val="24"/>
          <w:szCs w:val="32"/>
        </w:rPr>
        <w:t>Un concept de eveniment de tipul „Burse europene ale locurilor de muncă la nivel local”, sprijinit de UE, pentru a susține ocuparea forței de muncă la nivel local</w:t>
      </w:r>
    </w:p>
    <w:p w:rsidR="00CE5349" w:rsidRPr="007D6282" w:rsidRDefault="00CE5349" w:rsidP="00AA5F23">
      <w:pPr>
        <w:keepNext/>
        <w:keepLines/>
        <w:jc w:val="both"/>
        <w:rPr>
          <w:lang w:val="en-GB"/>
        </w:rPr>
      </w:pPr>
    </w:p>
    <w:p w:rsidR="00CC2877" w:rsidRPr="003814FB" w:rsidRDefault="00394636" w:rsidP="00AA5F23">
      <w:pPr>
        <w:keepNext/>
        <w:keepLines/>
        <w:jc w:val="both"/>
      </w:pPr>
      <w:r>
        <w:t>Pentru a îmbunătăți corelarea locurilor de muncă și a competențelor, s-a convenit analizarea posibilităților de a coorganiza evenimente de tipul „Burse europene ale locurilor de muncă la nivel local” în întreaga Europă. Orașul Salonic s-a putea oferi voluntar pen</w:t>
      </w:r>
      <w:r w:rsidR="00790CAE">
        <w:t>tru a găzdui o astfel de „Bursă </w:t>
      </w:r>
      <w:r>
        <w:t xml:space="preserve">europeană a locurilor de muncă la nivel local”, cu prima ocazie posibilă. Un asemenea eveniment ar putea deveni un model pentru evenimente similare în alte regiuni ale UE. CoR și DG EMPL vor colabora în ceea ce privește conceptul și punerea în aplicare, inclusiv configurarea, parteneriatele, finanțarea etc., care urmează să fie convenite separat. </w:t>
      </w:r>
    </w:p>
    <w:p w:rsidR="00FE1A83" w:rsidRPr="003814FB" w:rsidRDefault="00FE1A83" w:rsidP="00790CAE">
      <w:pPr>
        <w:jc w:val="both"/>
        <w:rPr>
          <w:lang w:val="en-GB"/>
        </w:rPr>
      </w:pPr>
    </w:p>
    <w:p w:rsidR="00DC5206" w:rsidRPr="007D6282" w:rsidRDefault="00455FAA" w:rsidP="00790CAE">
      <w:pPr>
        <w:pStyle w:val="Heading3"/>
        <w:jc w:val="both"/>
        <w:rPr>
          <w:rFonts w:asciiTheme="majorHAnsi" w:hAnsiTheme="majorHAnsi"/>
          <w:color w:val="365F91" w:themeColor="accent1" w:themeShade="BF"/>
        </w:rPr>
      </w:pPr>
      <w:r>
        <w:rPr>
          <w:rFonts w:ascii="Times New Roman" w:hAnsi="Times New Roman"/>
          <w:b/>
          <w:sz w:val="24"/>
          <w:szCs w:val="24"/>
        </w:rPr>
        <w:t>2.4.1.</w:t>
      </w:r>
      <w:r>
        <w:rPr>
          <w:rFonts w:ascii="Times New Roman" w:hAnsi="Times New Roman"/>
          <w:b/>
          <w:sz w:val="24"/>
          <w:szCs w:val="24"/>
        </w:rPr>
        <w:tab/>
        <w:t>Contextul existent</w:t>
      </w:r>
    </w:p>
    <w:p w:rsidR="00CC2877" w:rsidRPr="003814FB" w:rsidRDefault="00CC2877" w:rsidP="00790CAE">
      <w:pPr>
        <w:keepNext/>
        <w:jc w:val="both"/>
        <w:rPr>
          <w:lang w:val="en-GB"/>
        </w:rPr>
      </w:pPr>
    </w:p>
    <w:p w:rsidR="00CC2877" w:rsidRPr="007D6282" w:rsidRDefault="00DF7306" w:rsidP="00790CAE">
      <w:pPr>
        <w:pStyle w:val="ListParagraph"/>
        <w:numPr>
          <w:ilvl w:val="0"/>
          <w:numId w:val="35"/>
        </w:numPr>
        <w:spacing w:after="0" w:line="288" w:lineRule="auto"/>
        <w:jc w:val="both"/>
      </w:pPr>
      <w:r>
        <w:rPr>
          <w:rFonts w:ascii="Times New Roman" w:hAnsi="Times New Roman"/>
        </w:rPr>
        <w:t>Serviciile europene pentru ocuparea forței de muncă (EURES) găzduiesc deja „Zilele europene ale locurilor de muncă” care promovează mobilitatea lucrătorilor la nivelul UE, corelarea competențelor candidaților cu nevoile angajatorilor din alte state membre (o replicare a acestor evenimente de mobilitate nu ar aduce o valoare adăugată).</w:t>
      </w:r>
    </w:p>
    <w:p w:rsidR="00CC2877" w:rsidRPr="007D6282" w:rsidRDefault="00CC2877" w:rsidP="00790CAE">
      <w:pPr>
        <w:pStyle w:val="ListParagraph"/>
        <w:spacing w:after="0" w:line="288" w:lineRule="auto"/>
        <w:ind w:left="360"/>
        <w:jc w:val="both"/>
      </w:pPr>
    </w:p>
    <w:p w:rsidR="00CC2877" w:rsidRPr="007D6282" w:rsidRDefault="00501E02" w:rsidP="00790CAE">
      <w:pPr>
        <w:pStyle w:val="ListParagraph"/>
        <w:numPr>
          <w:ilvl w:val="0"/>
          <w:numId w:val="35"/>
        </w:numPr>
        <w:spacing w:after="0" w:line="288" w:lineRule="auto"/>
        <w:jc w:val="both"/>
      </w:pPr>
      <w:r>
        <w:rPr>
          <w:rFonts w:ascii="Times New Roman" w:hAnsi="Times New Roman"/>
        </w:rPr>
        <w:t>Mai multe proiecte ale UE vizează combaterea șomajului; în plus, există și programe naționale care au același obiectiv.</w:t>
      </w:r>
    </w:p>
    <w:p w:rsidR="00CC2877" w:rsidRPr="007D6282" w:rsidRDefault="00CC2877" w:rsidP="00790CAE">
      <w:pPr>
        <w:pStyle w:val="ListParagraph"/>
        <w:spacing w:after="0" w:line="288" w:lineRule="auto"/>
        <w:ind w:left="360"/>
        <w:jc w:val="both"/>
      </w:pPr>
    </w:p>
    <w:p w:rsidR="00CC2877" w:rsidRPr="007D6282" w:rsidRDefault="002867F1" w:rsidP="00790CAE">
      <w:pPr>
        <w:pStyle w:val="ListParagraph"/>
        <w:numPr>
          <w:ilvl w:val="0"/>
          <w:numId w:val="35"/>
        </w:numPr>
        <w:spacing w:after="0" w:line="288" w:lineRule="auto"/>
        <w:jc w:val="both"/>
      </w:pPr>
      <w:r>
        <w:rPr>
          <w:rFonts w:ascii="Times New Roman" w:hAnsi="Times New Roman"/>
        </w:rPr>
        <w:t>FSE este deja, iar FSE+ va fi un instrument important pentru finanțarea strategiilor de ocupare a forței de muncă de la nivel local și pentru promovarea formării și recalificării și perfecționării profesionale.</w:t>
      </w:r>
    </w:p>
    <w:p w:rsidR="00CC2877" w:rsidRPr="007D6282" w:rsidRDefault="00CC2877" w:rsidP="00790CAE">
      <w:pPr>
        <w:pStyle w:val="ListParagraph"/>
        <w:spacing w:after="0" w:line="288" w:lineRule="auto"/>
        <w:ind w:left="360"/>
        <w:jc w:val="both"/>
      </w:pPr>
    </w:p>
    <w:p w:rsidR="00CC2877" w:rsidRPr="007D6282" w:rsidRDefault="00DF7306" w:rsidP="00790CAE">
      <w:pPr>
        <w:numPr>
          <w:ilvl w:val="0"/>
          <w:numId w:val="35"/>
        </w:numPr>
        <w:jc w:val="both"/>
        <w:rPr>
          <w:rFonts w:eastAsia="Times New Roman"/>
          <w:sz w:val="24"/>
          <w:szCs w:val="24"/>
        </w:rPr>
      </w:pPr>
      <w:r>
        <w:t>Programul Uniunii Europene pentru ocuparea forței de muncă și inovare socială, EaSI (2014-2020) are trei axe (axa PROGRESS pentru modernizarea serviciilor sociale și de ocupare a forței de muncă, axa EURES pentru promovarea mobilității forței de muncă și axa Microfinanțare și antreprenoriat social, care facilitează accesul la microcredite al grupurilor vulnerabile și al întreprinderilor și sprijină antreprenoriatul social). InvestEU va oferi oportunități similare începând din 2021.</w:t>
      </w:r>
    </w:p>
    <w:p w:rsidR="00FE1A83" w:rsidRPr="007D6282" w:rsidRDefault="00FE1A83" w:rsidP="00790CAE">
      <w:pPr>
        <w:jc w:val="both"/>
        <w:rPr>
          <w:lang w:val="en-GB"/>
        </w:rPr>
      </w:pPr>
    </w:p>
    <w:p w:rsidR="00CC2877" w:rsidRPr="007D6282" w:rsidRDefault="00455FAA" w:rsidP="00790CAE">
      <w:pPr>
        <w:pStyle w:val="Heading3"/>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2.4.2.</w:t>
      </w:r>
      <w:r>
        <w:rPr>
          <w:rFonts w:ascii="Times New Roman" w:hAnsi="Times New Roman"/>
          <w:b/>
          <w:sz w:val="24"/>
          <w:szCs w:val="24"/>
        </w:rPr>
        <w:tab/>
      </w:r>
      <w:r>
        <w:rPr>
          <w:rFonts w:ascii="Times New Roman" w:hAnsi="Times New Roman"/>
          <w:b/>
          <w:sz w:val="24"/>
          <w:szCs w:val="32"/>
        </w:rPr>
        <w:t>Valoarea adăugată a evenimentelor de tipul „Burse europene ale locurilor de muncă la nivel local”</w:t>
      </w:r>
    </w:p>
    <w:p w:rsidR="00CC2877" w:rsidRPr="007D6282" w:rsidRDefault="00CC2877" w:rsidP="00790CAE">
      <w:pPr>
        <w:keepNext/>
        <w:jc w:val="both"/>
        <w:rPr>
          <w:lang w:val="en-GB"/>
        </w:rPr>
      </w:pPr>
    </w:p>
    <w:p w:rsidR="00CC2877" w:rsidRPr="007D6282" w:rsidRDefault="00CC2877" w:rsidP="00790CAE">
      <w:pPr>
        <w:pStyle w:val="ListParagraph"/>
        <w:spacing w:after="0" w:line="288" w:lineRule="auto"/>
        <w:ind w:left="0"/>
        <w:jc w:val="both"/>
      </w:pPr>
      <w:r>
        <w:rPr>
          <w:rFonts w:ascii="Times New Roman" w:hAnsi="Times New Roman"/>
        </w:rPr>
        <w:t>Date fiind inițiativele UE și alte inițiative care există deja, valoarea adăugată specifică a evenimentelor de tipul „Burse europene ale locurilor de muncă la nivel local” ar consta în:</w:t>
      </w:r>
    </w:p>
    <w:p w:rsidR="00100433" w:rsidRPr="007D6282" w:rsidRDefault="00100433" w:rsidP="00790CAE">
      <w:pPr>
        <w:pStyle w:val="ListParagraph"/>
        <w:spacing w:after="0" w:line="288" w:lineRule="auto"/>
        <w:ind w:left="0"/>
        <w:jc w:val="both"/>
      </w:pPr>
    </w:p>
    <w:p w:rsidR="00100433" w:rsidRPr="007D6282" w:rsidRDefault="00100433" w:rsidP="00790CAE">
      <w:pPr>
        <w:pStyle w:val="ListParagraph"/>
        <w:numPr>
          <w:ilvl w:val="0"/>
          <w:numId w:val="35"/>
        </w:numPr>
        <w:spacing w:after="0" w:line="288" w:lineRule="auto"/>
        <w:jc w:val="both"/>
      </w:pPr>
      <w:r>
        <w:rPr>
          <w:rFonts w:ascii="Times New Roman" w:hAnsi="Times New Roman"/>
        </w:rPr>
        <w:t>evidențierea serviciilor UE existente pentru persoanele aflate în căutarea unui loc de muncă la nivel local, național și european;</w:t>
      </w:r>
    </w:p>
    <w:p w:rsidR="0002399B" w:rsidRPr="007D6282" w:rsidRDefault="0002399B" w:rsidP="00790CAE">
      <w:pPr>
        <w:pStyle w:val="ListParagraph"/>
        <w:numPr>
          <w:ilvl w:val="0"/>
          <w:numId w:val="35"/>
        </w:numPr>
        <w:spacing w:after="0" w:line="288" w:lineRule="auto"/>
        <w:jc w:val="both"/>
      </w:pPr>
      <w:r>
        <w:rPr>
          <w:rFonts w:ascii="Times New Roman" w:hAnsi="Times New Roman"/>
        </w:rPr>
        <w:t>prezentarea noilor tendințe în materie de competențe și ocupare a forței de muncă la nivel local și european;</w:t>
      </w:r>
    </w:p>
    <w:p w:rsidR="00100433" w:rsidRPr="007D6282" w:rsidRDefault="00100433" w:rsidP="00790CAE">
      <w:pPr>
        <w:pStyle w:val="ListParagraph"/>
        <w:numPr>
          <w:ilvl w:val="0"/>
          <w:numId w:val="35"/>
        </w:numPr>
        <w:spacing w:after="0" w:line="288" w:lineRule="auto"/>
        <w:jc w:val="both"/>
      </w:pPr>
      <w:r>
        <w:rPr>
          <w:rFonts w:ascii="Times New Roman" w:hAnsi="Times New Roman"/>
        </w:rPr>
        <w:t>prezentarea mecanismelor UE de sprijinire a strategiilor locale și regionale de ocupare a forței de muncă în contextul activităților de programare continue ale viitoarelor programelor FSE;</w:t>
      </w:r>
    </w:p>
    <w:p w:rsidR="00100433" w:rsidRPr="007D6282" w:rsidRDefault="00100433" w:rsidP="00790CAE">
      <w:pPr>
        <w:pStyle w:val="ListParagraph"/>
        <w:numPr>
          <w:ilvl w:val="0"/>
          <w:numId w:val="35"/>
        </w:numPr>
        <w:spacing w:after="0" w:line="288" w:lineRule="auto"/>
        <w:jc w:val="both"/>
      </w:pPr>
      <w:r>
        <w:rPr>
          <w:rFonts w:ascii="Times New Roman" w:hAnsi="Times New Roman"/>
        </w:rPr>
        <w:t xml:space="preserve">ilustrarea legăturilor dintre diferitele politici și programe ale UE din perspectiva tinerilor; și </w:t>
      </w:r>
    </w:p>
    <w:p w:rsidR="00C97045" w:rsidRPr="007D6282" w:rsidRDefault="00100433" w:rsidP="00790CAE">
      <w:pPr>
        <w:pStyle w:val="ListParagraph"/>
        <w:numPr>
          <w:ilvl w:val="0"/>
          <w:numId w:val="35"/>
        </w:numPr>
        <w:spacing w:after="0" w:line="288" w:lineRule="auto"/>
        <w:jc w:val="both"/>
      </w:pPr>
      <w:r>
        <w:rPr>
          <w:rFonts w:ascii="Times New Roman" w:hAnsi="Times New Roman"/>
        </w:rPr>
        <w:t>furnizarea unei baze pentru un dialog cu cetățenii despre dimensiunea socială a UE și semnificația acesteia pentru ocuparea forței de muncă la nivel local și regional;</w:t>
      </w:r>
    </w:p>
    <w:p w:rsidR="00100433" w:rsidRPr="007D6282" w:rsidRDefault="00C97045" w:rsidP="00790CAE">
      <w:pPr>
        <w:pStyle w:val="ListParagraph"/>
        <w:numPr>
          <w:ilvl w:val="0"/>
          <w:numId w:val="35"/>
        </w:numPr>
        <w:spacing w:after="0" w:line="288" w:lineRule="auto"/>
        <w:jc w:val="both"/>
      </w:pPr>
      <w:r>
        <w:rPr>
          <w:rFonts w:ascii="Times New Roman" w:hAnsi="Times New Roman"/>
        </w:rPr>
        <w:t>sprijinirea corelării locurilor de muncă și a competențelor la nivel local cu sprijin din partea fondurilor UE pentru astfel de evenimente locale.</w:t>
      </w:r>
    </w:p>
    <w:p w:rsidR="00FE1A83" w:rsidRPr="003814FB" w:rsidRDefault="00FE1A83" w:rsidP="00790CAE">
      <w:pPr>
        <w:jc w:val="both"/>
        <w:rPr>
          <w:lang w:val="en-GB"/>
        </w:rPr>
      </w:pPr>
    </w:p>
    <w:p w:rsidR="00F165DD" w:rsidRPr="003814FB" w:rsidRDefault="001A2D75" w:rsidP="00790CAE">
      <w:pPr>
        <w:jc w:val="both"/>
      </w:pPr>
      <w:r>
        <w:t>În momentul de față, este important să se organizeze astfel de evenimente în contextul eforturilor de redresare în urma pandemiei de COVID-19. Prin urmare, este esențial să se inițieze un dialog politic cu principalii reprezentanți ai partenerilor sociali, alături de membri ai CoR și de reprezentanți ai UE cu privire la conceptele și strategiile necesare pentru a aborda actualele provocări legate de ocuparea forței de muncă.</w:t>
      </w:r>
    </w:p>
    <w:p w:rsidR="00FE1A83" w:rsidRPr="003814FB" w:rsidRDefault="00FE1A83" w:rsidP="00790CAE">
      <w:pPr>
        <w:jc w:val="both"/>
        <w:rPr>
          <w:lang w:val="en-GB"/>
        </w:rPr>
      </w:pPr>
    </w:p>
    <w:p w:rsidR="00100433" w:rsidRPr="007D6282" w:rsidRDefault="00455FAA" w:rsidP="00790CAE">
      <w:pPr>
        <w:pStyle w:val="Heading3"/>
        <w:ind w:left="709" w:hanging="709"/>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2.4.3.</w:t>
      </w:r>
      <w:r>
        <w:rPr>
          <w:rFonts w:ascii="Times New Roman" w:hAnsi="Times New Roman"/>
          <w:b/>
          <w:sz w:val="24"/>
          <w:szCs w:val="24"/>
        </w:rPr>
        <w:tab/>
      </w:r>
      <w:r>
        <w:rPr>
          <w:rFonts w:ascii="Times New Roman" w:hAnsi="Times New Roman"/>
          <w:b/>
          <w:sz w:val="24"/>
          <w:szCs w:val="32"/>
        </w:rPr>
        <w:t>Grupul-țintă al evenimentelor de tipul „Burse europene ale locurilor de muncă la nivel local”</w:t>
      </w:r>
    </w:p>
    <w:p w:rsidR="0002399B" w:rsidRPr="007D6282" w:rsidRDefault="0002399B" w:rsidP="00790CAE">
      <w:pPr>
        <w:keepNext/>
        <w:jc w:val="both"/>
        <w:rPr>
          <w:lang w:val="en-GB"/>
        </w:rPr>
      </w:pPr>
    </w:p>
    <w:p w:rsidR="0002399B" w:rsidRPr="007D6282" w:rsidRDefault="0002399B" w:rsidP="00790CAE">
      <w:pPr>
        <w:jc w:val="both"/>
      </w:pPr>
      <w:r>
        <w:t>Grupul</w:t>
      </w:r>
      <w:r w:rsidR="00AA5F23">
        <w:noBreakHyphen/>
      </w:r>
      <w:r>
        <w:t>țintă al evenimentelor de tipul „Burse europene ale locurilor de muncă la nivel local” ar putea include:</w:t>
      </w:r>
    </w:p>
    <w:p w:rsidR="0002399B" w:rsidRPr="007D6282" w:rsidRDefault="0002399B" w:rsidP="00AA5F23">
      <w:pPr>
        <w:spacing w:line="240" w:lineRule="auto"/>
        <w:jc w:val="both"/>
        <w:rPr>
          <w:lang w:val="en-GB"/>
        </w:rPr>
      </w:pPr>
    </w:p>
    <w:p w:rsidR="0002399B" w:rsidRPr="007D6282" w:rsidRDefault="0002399B" w:rsidP="00790CAE">
      <w:pPr>
        <w:pStyle w:val="ListParagraph"/>
        <w:numPr>
          <w:ilvl w:val="0"/>
          <w:numId w:val="33"/>
        </w:numPr>
        <w:spacing w:after="0" w:line="288" w:lineRule="auto"/>
        <w:ind w:left="360"/>
        <w:jc w:val="both"/>
      </w:pPr>
      <w:r>
        <w:rPr>
          <w:rFonts w:ascii="Times New Roman" w:hAnsi="Times New Roman"/>
        </w:rPr>
        <w:t>persoane aflate în căutarea unui loc de muncă, în special studenți și proaspăt absolvenți;</w:t>
      </w:r>
    </w:p>
    <w:p w:rsidR="0002399B" w:rsidRPr="007D6282" w:rsidRDefault="0002399B" w:rsidP="00790CAE">
      <w:pPr>
        <w:pStyle w:val="ListParagraph"/>
        <w:numPr>
          <w:ilvl w:val="0"/>
          <w:numId w:val="33"/>
        </w:numPr>
        <w:spacing w:after="0" w:line="288" w:lineRule="auto"/>
        <w:ind w:left="360"/>
        <w:jc w:val="both"/>
      </w:pPr>
      <w:r>
        <w:rPr>
          <w:rFonts w:ascii="Times New Roman" w:hAnsi="Times New Roman"/>
        </w:rPr>
        <w:t>servicii publice de ocupare a forței de muncă de la nivel local/regional;</w:t>
      </w:r>
    </w:p>
    <w:p w:rsidR="0002399B" w:rsidRPr="007D6282" w:rsidRDefault="0002399B" w:rsidP="00790CAE">
      <w:pPr>
        <w:pStyle w:val="ListParagraph"/>
        <w:numPr>
          <w:ilvl w:val="0"/>
          <w:numId w:val="33"/>
        </w:numPr>
        <w:spacing w:after="0" w:line="288" w:lineRule="auto"/>
        <w:ind w:left="360"/>
        <w:jc w:val="both"/>
      </w:pPr>
      <w:r>
        <w:rPr>
          <w:rFonts w:ascii="Times New Roman" w:hAnsi="Times New Roman"/>
        </w:rPr>
        <w:t>agenții de formare, recalificare și ocupare a forței de muncă;</w:t>
      </w:r>
    </w:p>
    <w:p w:rsidR="0002399B" w:rsidRPr="007D6282" w:rsidRDefault="0002399B" w:rsidP="00790CAE">
      <w:pPr>
        <w:pStyle w:val="ListParagraph"/>
        <w:numPr>
          <w:ilvl w:val="0"/>
          <w:numId w:val="33"/>
        </w:numPr>
        <w:spacing w:after="0" w:line="288" w:lineRule="auto"/>
        <w:ind w:left="360"/>
        <w:jc w:val="both"/>
      </w:pPr>
      <w:r>
        <w:rPr>
          <w:rFonts w:ascii="Times New Roman" w:hAnsi="Times New Roman"/>
        </w:rPr>
        <w:t>parteneri sociali, instituții de învățământ;</w:t>
      </w:r>
    </w:p>
    <w:p w:rsidR="0002399B" w:rsidRPr="007D6282" w:rsidRDefault="0002399B" w:rsidP="00790CAE">
      <w:pPr>
        <w:pStyle w:val="ListParagraph"/>
        <w:numPr>
          <w:ilvl w:val="0"/>
          <w:numId w:val="33"/>
        </w:numPr>
        <w:spacing w:after="0" w:line="288" w:lineRule="auto"/>
        <w:ind w:left="360"/>
        <w:jc w:val="both"/>
      </w:pPr>
      <w:r>
        <w:rPr>
          <w:rFonts w:ascii="Times New Roman" w:hAnsi="Times New Roman"/>
        </w:rPr>
        <w:t>autorități și politicieni de la nivel local/regional; și</w:t>
      </w:r>
    </w:p>
    <w:p w:rsidR="0002399B" w:rsidRPr="007D6282" w:rsidRDefault="0002399B" w:rsidP="00790CAE">
      <w:pPr>
        <w:pStyle w:val="ListParagraph"/>
        <w:numPr>
          <w:ilvl w:val="0"/>
          <w:numId w:val="33"/>
        </w:numPr>
        <w:spacing w:after="0" w:line="288" w:lineRule="auto"/>
        <w:ind w:left="360"/>
        <w:jc w:val="both"/>
      </w:pPr>
      <w:r>
        <w:rPr>
          <w:rFonts w:ascii="Times New Roman" w:hAnsi="Times New Roman"/>
        </w:rPr>
        <w:t>mass-media de la nivel local/regional.</w:t>
      </w:r>
    </w:p>
    <w:p w:rsidR="00FE1A83" w:rsidRPr="007D6282" w:rsidRDefault="00FE1A83" w:rsidP="00790CAE">
      <w:pPr>
        <w:jc w:val="both"/>
        <w:rPr>
          <w:lang w:val="en-GB"/>
        </w:rPr>
      </w:pPr>
    </w:p>
    <w:p w:rsidR="0002399B" w:rsidRPr="007D6282" w:rsidRDefault="00455FAA" w:rsidP="00790CAE">
      <w:pPr>
        <w:pStyle w:val="Heading3"/>
        <w:tabs>
          <w:tab w:val="left" w:pos="567"/>
        </w:tabs>
        <w:jc w:val="both"/>
        <w:rPr>
          <w:rFonts w:asciiTheme="majorHAnsi" w:hAnsiTheme="majorHAnsi"/>
          <w:color w:val="365F91" w:themeColor="accent1" w:themeShade="BF"/>
        </w:rPr>
      </w:pPr>
      <w:r>
        <w:rPr>
          <w:rFonts w:ascii="Times New Roman" w:hAnsi="Times New Roman"/>
          <w:b/>
          <w:sz w:val="24"/>
          <w:szCs w:val="24"/>
        </w:rPr>
        <w:t>2.4.4.</w:t>
      </w:r>
      <w:r>
        <w:rPr>
          <w:rFonts w:ascii="Times New Roman" w:hAnsi="Times New Roman"/>
          <w:b/>
          <w:sz w:val="24"/>
          <w:szCs w:val="24"/>
        </w:rPr>
        <w:tab/>
        <w:t>Parteneri posibili și punerea în aplicare</w:t>
      </w:r>
    </w:p>
    <w:p w:rsidR="0002399B" w:rsidRPr="007D6282" w:rsidRDefault="0002399B" w:rsidP="00790CAE">
      <w:pPr>
        <w:keepNext/>
        <w:jc w:val="both"/>
        <w:rPr>
          <w:lang w:val="en-GB"/>
        </w:rPr>
      </w:pPr>
    </w:p>
    <w:p w:rsidR="0002399B" w:rsidRPr="007D6282" w:rsidRDefault="00E0617C" w:rsidP="00790CAE">
      <w:pPr>
        <w:jc w:val="both"/>
      </w:pPr>
      <w:r>
        <w:t xml:space="preserve">Un eveniment de tipul „Burse europene ale locurilor de muncă la nivel local” va fi pe deplin reușit dacă partenerii potriviți vor fi implicați încă de la început, pentru a asigura </w:t>
      </w:r>
      <w:r w:rsidR="00790CAE">
        <w:t>o contribuție semnificativă. Ar </w:t>
      </w:r>
      <w:r>
        <w:t>putea fi implicați următorii parteneri:</w:t>
      </w:r>
    </w:p>
    <w:p w:rsidR="0002399B" w:rsidRPr="007D6282" w:rsidRDefault="0002399B" w:rsidP="00790CAE">
      <w:pPr>
        <w:jc w:val="both"/>
        <w:rPr>
          <w:lang w:val="en-GB"/>
        </w:rPr>
      </w:pPr>
    </w:p>
    <w:p w:rsidR="0002399B" w:rsidRPr="007D6282" w:rsidRDefault="00E0617C" w:rsidP="00790CAE">
      <w:pPr>
        <w:pStyle w:val="ListParagraph"/>
        <w:numPr>
          <w:ilvl w:val="0"/>
          <w:numId w:val="40"/>
        </w:numPr>
        <w:spacing w:after="0" w:line="288" w:lineRule="auto"/>
        <w:jc w:val="both"/>
      </w:pPr>
      <w:r>
        <w:rPr>
          <w:rFonts w:ascii="Times New Roman" w:hAnsi="Times New Roman"/>
          <w:u w:val="single"/>
        </w:rPr>
        <w:t>La nivel local</w:t>
      </w:r>
      <w:r>
        <w:rPr>
          <w:rFonts w:ascii="Times New Roman" w:hAnsi="Times New Roman"/>
        </w:rPr>
        <w:t>: autoritățile locale, camerele de comerț și asociațiile profesionale, organizațiile sindicale, societatea civilă, școlile, universitățile etc.</w:t>
      </w:r>
    </w:p>
    <w:p w:rsidR="0002399B" w:rsidRPr="007D6282" w:rsidRDefault="00E0617C" w:rsidP="00790CAE">
      <w:pPr>
        <w:pStyle w:val="ListParagraph"/>
        <w:numPr>
          <w:ilvl w:val="0"/>
          <w:numId w:val="40"/>
        </w:numPr>
        <w:spacing w:after="0" w:line="288" w:lineRule="auto"/>
        <w:jc w:val="both"/>
      </w:pPr>
      <w:r>
        <w:rPr>
          <w:rFonts w:ascii="Times New Roman" w:hAnsi="Times New Roman"/>
          <w:u w:val="single"/>
        </w:rPr>
        <w:t>La nivel regional</w:t>
      </w:r>
      <w:r>
        <w:rPr>
          <w:rFonts w:ascii="Times New Roman" w:hAnsi="Times New Roman"/>
        </w:rPr>
        <w:t>: autoritatea de management a FSE, serviciile de ocupare a forței de muncă, ministerele regionale, asociațiile profesionale de la nivel regional, universități etc.;</w:t>
      </w:r>
    </w:p>
    <w:p w:rsidR="0002399B" w:rsidRPr="007D6282" w:rsidRDefault="00E0617C" w:rsidP="00790CAE">
      <w:pPr>
        <w:pStyle w:val="ListParagraph"/>
        <w:numPr>
          <w:ilvl w:val="0"/>
          <w:numId w:val="40"/>
        </w:numPr>
        <w:spacing w:after="0" w:line="288" w:lineRule="auto"/>
        <w:jc w:val="both"/>
      </w:pPr>
      <w:r>
        <w:rPr>
          <w:rFonts w:ascii="Times New Roman" w:hAnsi="Times New Roman"/>
          <w:u w:val="single"/>
        </w:rPr>
        <w:t>La nivel național</w:t>
      </w:r>
      <w:r>
        <w:rPr>
          <w:rFonts w:ascii="Times New Roman" w:hAnsi="Times New Roman"/>
        </w:rPr>
        <w:t>: ministerele naționale, asociații din sectorul social, asociațiile profesionale, asociațiile formatorilor, asociații ale universităților, etc.</w:t>
      </w:r>
    </w:p>
    <w:p w:rsidR="00256F0C" w:rsidRPr="007D6282" w:rsidRDefault="00E0617C" w:rsidP="00790CAE">
      <w:pPr>
        <w:pStyle w:val="ListParagraph"/>
        <w:numPr>
          <w:ilvl w:val="0"/>
          <w:numId w:val="40"/>
        </w:numPr>
        <w:spacing w:after="0" w:line="288" w:lineRule="auto"/>
        <w:jc w:val="both"/>
      </w:pPr>
      <w:r>
        <w:rPr>
          <w:rFonts w:ascii="Times New Roman" w:hAnsi="Times New Roman"/>
          <w:u w:val="single"/>
        </w:rPr>
        <w:t>La nivelul UE</w:t>
      </w:r>
      <w:r>
        <w:rPr>
          <w:rFonts w:ascii="Times New Roman" w:hAnsi="Times New Roman"/>
        </w:rPr>
        <w:t>: Comisia Europeană (sub coordonarea DG EMPL; alte DG-uri și servicii care ar putea fi invitate: DG EAC; DG REGIO, DG REFORM, JRC), agenții ale UE (ELA, CEDEFOP, EUROFOUND); membri ai CoR; deputați în Parlamentul European; parteneri sociali.</w:t>
      </w:r>
    </w:p>
    <w:p w:rsidR="00FE1A83" w:rsidRPr="003814FB" w:rsidRDefault="00FE1A83" w:rsidP="00790CAE">
      <w:pPr>
        <w:jc w:val="both"/>
        <w:rPr>
          <w:lang w:val="en-GB"/>
        </w:rPr>
      </w:pPr>
    </w:p>
    <w:p w:rsidR="00834904" w:rsidRPr="003814FB" w:rsidRDefault="00834904" w:rsidP="00790CAE">
      <w:pPr>
        <w:jc w:val="both"/>
      </w:pPr>
      <w:r>
        <w:t>Având în vedere că, în contextul actualei pandemii de COVID-19 organizarea de evenimente la fața locului este momentan imposibilă, s-ar putea lua în considerare organizarea unor evenimente precum „</w:t>
      </w:r>
      <w:hyperlink r:id="rId14" w:history="1">
        <w:r>
          <w:t xml:space="preserve">European Online Job </w:t>
        </w:r>
        <w:proofErr w:type="spellStart"/>
        <w:r>
          <w:t>Days</w:t>
        </w:r>
        <w:proofErr w:type="spellEnd"/>
      </w:hyperlink>
      <w:r>
        <w:t>” (Zilele europene online ale locurilor de muncă), în acord cu respectivul birou național de coordonare pentru EURES și cu implicarea acestuia.</w:t>
      </w:r>
    </w:p>
    <w:p w:rsidR="003E0FE7" w:rsidRPr="003814FB" w:rsidRDefault="003E0FE7" w:rsidP="00790CAE">
      <w:pPr>
        <w:jc w:val="both"/>
        <w:rPr>
          <w:lang w:val="en-GB"/>
        </w:rPr>
      </w:pPr>
    </w:p>
    <w:p w:rsidR="00E6624D" w:rsidRPr="003814FB" w:rsidRDefault="00E6624D" w:rsidP="00790CAE">
      <w:pPr>
        <w:jc w:val="both"/>
      </w:pPr>
      <w:r>
        <w:t>Rolurile și responsabilitățile organizatorilor și ale partenerilor vor fi definite în acorduri separate.</w:t>
      </w:r>
    </w:p>
    <w:p w:rsidR="00F165DD" w:rsidRPr="007D6282" w:rsidRDefault="00F165DD" w:rsidP="00790CAE">
      <w:pPr>
        <w:jc w:val="both"/>
        <w:rPr>
          <w:sz w:val="24"/>
          <w:lang w:val="en-GB"/>
        </w:rPr>
      </w:pPr>
    </w:p>
    <w:p w:rsidR="001A2D75" w:rsidRPr="007D6282" w:rsidRDefault="001A2D75" w:rsidP="00790CAE">
      <w:pPr>
        <w:pStyle w:val="ListParagraph"/>
        <w:keepNext/>
        <w:numPr>
          <w:ilvl w:val="2"/>
          <w:numId w:val="22"/>
        </w:numPr>
        <w:spacing w:after="0" w:line="288" w:lineRule="auto"/>
        <w:jc w:val="both"/>
        <w:rPr>
          <w:b/>
          <w:sz w:val="24"/>
        </w:rPr>
      </w:pPr>
      <w:r>
        <w:rPr>
          <w:rFonts w:ascii="Times New Roman" w:hAnsi="Times New Roman"/>
          <w:b/>
          <w:sz w:val="24"/>
        </w:rPr>
        <w:t>Finanțare și alte tipuri de sprijin</w:t>
      </w:r>
    </w:p>
    <w:p w:rsidR="001A2D75" w:rsidRPr="003814FB" w:rsidRDefault="001A2D75" w:rsidP="00790CAE">
      <w:pPr>
        <w:keepNext/>
        <w:jc w:val="both"/>
        <w:rPr>
          <w:lang w:val="en-GB"/>
        </w:rPr>
      </w:pPr>
    </w:p>
    <w:p w:rsidR="006C7232" w:rsidRPr="007D6282" w:rsidRDefault="001A2D75" w:rsidP="00790CAE">
      <w:pPr>
        <w:jc w:val="both"/>
      </w:pPr>
      <w:r>
        <w:t>Evenimentele de tipul „Burse europene ale locurilor de muncă la nivel local”, găzduite de membrii CoR, ar putea fi sprijinite printr-o finanțare din partea UE. Comitetul Regiunilor și DG EMPL vor explora împreună opțiunile potrivite pentru sprijinirea financiară a acestor evenimente.</w:t>
      </w:r>
    </w:p>
    <w:p w:rsidR="001A2D75" w:rsidRPr="007D6282" w:rsidRDefault="001A2D75" w:rsidP="00790CAE">
      <w:pPr>
        <w:jc w:val="both"/>
        <w:rPr>
          <w:lang w:val="en-GB"/>
        </w:rPr>
      </w:pPr>
    </w:p>
    <w:p w:rsidR="001A2D75" w:rsidRPr="007D6282" w:rsidRDefault="008D4711" w:rsidP="00790CAE">
      <w:pPr>
        <w:jc w:val="both"/>
      </w:pPr>
      <w:r>
        <w:t>Alte tipuri de sprijin ar putea include:</w:t>
      </w:r>
    </w:p>
    <w:p w:rsidR="001A2D75" w:rsidRPr="007D6282" w:rsidRDefault="001A2D75" w:rsidP="00AA5F23">
      <w:pPr>
        <w:spacing w:line="240" w:lineRule="auto"/>
        <w:jc w:val="both"/>
        <w:rPr>
          <w:lang w:val="en-GB"/>
        </w:rPr>
      </w:pPr>
    </w:p>
    <w:p w:rsidR="001A2D75" w:rsidRPr="007D6282" w:rsidRDefault="001A2D75" w:rsidP="00790CAE">
      <w:pPr>
        <w:pStyle w:val="ListParagraph"/>
        <w:numPr>
          <w:ilvl w:val="0"/>
          <w:numId w:val="41"/>
        </w:numPr>
        <w:spacing w:after="0" w:line="288" w:lineRule="auto"/>
        <w:jc w:val="both"/>
      </w:pPr>
      <w:r>
        <w:rPr>
          <w:rFonts w:ascii="Times New Roman" w:hAnsi="Times New Roman"/>
        </w:rPr>
        <w:t>Angajamentul partenerilor UE de a participa activ la evenimente (prin trimiterea de experți și delegați);</w:t>
      </w:r>
    </w:p>
    <w:p w:rsidR="001A2D75" w:rsidRPr="007D6282" w:rsidRDefault="001A2D75" w:rsidP="00790CAE">
      <w:pPr>
        <w:pStyle w:val="ListParagraph"/>
        <w:numPr>
          <w:ilvl w:val="0"/>
          <w:numId w:val="41"/>
        </w:numPr>
        <w:spacing w:after="0" w:line="288" w:lineRule="auto"/>
        <w:jc w:val="both"/>
      </w:pPr>
      <w:r>
        <w:rPr>
          <w:rFonts w:ascii="Times New Roman" w:hAnsi="Times New Roman"/>
        </w:rPr>
        <w:t>Angajamentul partenerilor UE de a pregăti materiale de informare adecvate pentru eveniment;</w:t>
      </w:r>
    </w:p>
    <w:p w:rsidR="001A2D75" w:rsidRPr="007D6282" w:rsidRDefault="001A2D75" w:rsidP="00790CAE">
      <w:pPr>
        <w:pStyle w:val="ListParagraph"/>
        <w:numPr>
          <w:ilvl w:val="0"/>
          <w:numId w:val="41"/>
        </w:numPr>
        <w:spacing w:after="0" w:line="288" w:lineRule="auto"/>
        <w:jc w:val="both"/>
      </w:pPr>
      <w:r>
        <w:rPr>
          <w:rFonts w:ascii="Times New Roman" w:hAnsi="Times New Roman"/>
        </w:rPr>
        <w:t>Angajamentul, ori de câte ori este posibil, de a asigura o reprezentare la înalt nivel: prin prezența la eveniment a unui comisar sau a unui manager senior din cadrul DG EMPL.</w:t>
      </w:r>
    </w:p>
    <w:p w:rsidR="007A1EBE" w:rsidRPr="007D6282" w:rsidRDefault="007A1EBE" w:rsidP="00790CAE">
      <w:pPr>
        <w:jc w:val="both"/>
        <w:rPr>
          <w:lang w:val="en-GB"/>
        </w:rPr>
      </w:pPr>
    </w:p>
    <w:p w:rsidR="00E01D16" w:rsidRPr="007D6282" w:rsidRDefault="008C4469" w:rsidP="00790CAE">
      <w:pPr>
        <w:pStyle w:val="Heading1"/>
        <w:spacing w:before="0"/>
        <w:ind w:left="567" w:hanging="567"/>
        <w:jc w:val="both"/>
        <w:rPr>
          <w:b/>
          <w:sz w:val="24"/>
        </w:rPr>
      </w:pPr>
      <w:r>
        <w:rPr>
          <w:rFonts w:ascii="Times New Roman" w:hAnsi="Times New Roman"/>
          <w:b/>
          <w:color w:val="auto"/>
          <w:sz w:val="24"/>
          <w:szCs w:val="24"/>
        </w:rPr>
        <w:t xml:space="preserve">3. </w:t>
      </w:r>
      <w:r>
        <w:rPr>
          <w:rFonts w:ascii="Times New Roman" w:hAnsi="Times New Roman"/>
          <w:b/>
          <w:color w:val="auto"/>
          <w:sz w:val="24"/>
          <w:szCs w:val="24"/>
        </w:rPr>
        <w:tab/>
      </w:r>
      <w:r>
        <w:rPr>
          <w:rFonts w:ascii="Times New Roman" w:hAnsi="Times New Roman"/>
          <w:b/>
          <w:color w:val="auto"/>
          <w:sz w:val="24"/>
        </w:rPr>
        <w:t>Alte domenii de politică și posibilități de cooperare</w:t>
      </w:r>
    </w:p>
    <w:p w:rsidR="00E01D16" w:rsidRPr="007D6282" w:rsidRDefault="00E01D16" w:rsidP="00790CAE">
      <w:pPr>
        <w:jc w:val="both"/>
        <w:rPr>
          <w:rFonts w:eastAsiaTheme="majorEastAsia"/>
          <w:lang w:val="en-GB"/>
        </w:rPr>
      </w:pPr>
    </w:p>
    <w:p w:rsidR="00E01D16" w:rsidRPr="007D6282" w:rsidRDefault="00E01D16" w:rsidP="00790CAE">
      <w:pPr>
        <w:spacing w:after="0"/>
        <w:jc w:val="both"/>
        <w:rPr>
          <w:bCs/>
        </w:rPr>
      </w:pPr>
      <w:r>
        <w:t xml:space="preserve">În prezent există mai multe alte inițiative pe agenda DG EMPL precum: </w:t>
      </w:r>
    </w:p>
    <w:p w:rsidR="007A1EBE" w:rsidRPr="007D6282" w:rsidRDefault="007A1EBE" w:rsidP="00790CAE">
      <w:pPr>
        <w:spacing w:after="0"/>
        <w:jc w:val="both"/>
        <w:rPr>
          <w:bCs/>
          <w:lang w:val="en-GB"/>
        </w:rPr>
      </w:pPr>
    </w:p>
    <w:p w:rsidR="00457987" w:rsidRPr="007D6282" w:rsidRDefault="007A1EBE" w:rsidP="00790CAE">
      <w:pPr>
        <w:pStyle w:val="ListParagraph"/>
        <w:numPr>
          <w:ilvl w:val="0"/>
          <w:numId w:val="33"/>
        </w:numPr>
        <w:spacing w:after="0" w:line="288" w:lineRule="auto"/>
        <w:ind w:left="360"/>
        <w:jc w:val="both"/>
      </w:pPr>
      <w:r>
        <w:rPr>
          <w:rFonts w:ascii="Times New Roman" w:hAnsi="Times New Roman"/>
        </w:rPr>
        <w:t>planul de acțiune pentru economia socială, a cărui publicare este așteptată în 2021. Cooperarea ar putea explora activități în domeniul incluziunii sociale, al creării de locuri de muncă, al sectorului de îngrijire (îngrijire pentru copiii preșcolari și îngrijire pentru persoanele în vârstă), al altor servicii sociale, precum și în domeniul inovării sociale în economia socială la nivel regional și interregional;</w:t>
      </w:r>
    </w:p>
    <w:p w:rsidR="00E01D16" w:rsidRPr="007D6282" w:rsidRDefault="007A1EBE" w:rsidP="00790CAE">
      <w:pPr>
        <w:pStyle w:val="ListParagraph"/>
        <w:numPr>
          <w:ilvl w:val="0"/>
          <w:numId w:val="33"/>
        </w:numPr>
        <w:spacing w:after="0" w:line="288" w:lineRule="auto"/>
        <w:ind w:left="360"/>
        <w:jc w:val="both"/>
      </w:pPr>
      <w:r>
        <w:rPr>
          <w:rFonts w:ascii="Times New Roman" w:hAnsi="Times New Roman"/>
        </w:rPr>
        <w:t>salarii minime adecvate în Uniunea Europeană, domeniu în care Com</w:t>
      </w:r>
      <w:r w:rsidR="00790CAE">
        <w:rPr>
          <w:rFonts w:ascii="Times New Roman" w:hAnsi="Times New Roman"/>
        </w:rPr>
        <w:t>isia a propus o directivă la 28 </w:t>
      </w:r>
      <w:r>
        <w:rPr>
          <w:rFonts w:ascii="Times New Roman" w:hAnsi="Times New Roman"/>
        </w:rPr>
        <w:t>octombrie 2020;</w:t>
      </w:r>
    </w:p>
    <w:p w:rsidR="00E01D16" w:rsidRPr="007D6282" w:rsidRDefault="007A1EBE" w:rsidP="00790CAE">
      <w:pPr>
        <w:pStyle w:val="ListParagraph"/>
        <w:numPr>
          <w:ilvl w:val="0"/>
          <w:numId w:val="33"/>
        </w:numPr>
        <w:spacing w:after="0" w:line="288" w:lineRule="auto"/>
        <w:ind w:left="360"/>
        <w:jc w:val="both"/>
      </w:pPr>
      <w:r>
        <w:rPr>
          <w:rFonts w:ascii="Times New Roman" w:hAnsi="Times New Roman"/>
        </w:rPr>
        <w:t>condițiile de muncă pentru lucrătorii sezonieri, domeniu în care Comisia a emis o serie de orientări în 2020;</w:t>
      </w:r>
    </w:p>
    <w:p w:rsidR="00E01D16" w:rsidRPr="007D6282" w:rsidRDefault="007A1EBE" w:rsidP="00790CAE">
      <w:pPr>
        <w:pStyle w:val="ListParagraph"/>
        <w:numPr>
          <w:ilvl w:val="0"/>
          <w:numId w:val="33"/>
        </w:numPr>
        <w:spacing w:after="0" w:line="288" w:lineRule="auto"/>
        <w:ind w:left="360"/>
        <w:jc w:val="both"/>
      </w:pPr>
      <w:r>
        <w:rPr>
          <w:rFonts w:ascii="Times New Roman" w:hAnsi="Times New Roman"/>
        </w:rPr>
        <w:t>aspecte ale schimbărilor demografice care intră în sfera de competență a DG EMPL.</w:t>
      </w:r>
    </w:p>
    <w:p w:rsidR="007A1EBE" w:rsidRPr="007D6282" w:rsidRDefault="007A1EBE" w:rsidP="00790CAE">
      <w:pPr>
        <w:jc w:val="both"/>
        <w:rPr>
          <w:lang w:val="en-GB"/>
        </w:rPr>
      </w:pPr>
    </w:p>
    <w:p w:rsidR="00E01D16" w:rsidRPr="007D6282" w:rsidRDefault="00E01D16" w:rsidP="00790CAE">
      <w:pPr>
        <w:jc w:val="both"/>
      </w:pPr>
      <w:r>
        <w:t>CoR se va concentra pe intensificarea consultării cu ALR-urile pentru a contribu</w:t>
      </w:r>
      <w:r w:rsidR="00AA5F23">
        <w:t>i la aceste domenii</w:t>
      </w:r>
      <w:r w:rsidR="00AA5F23">
        <w:noBreakHyphen/>
      </w:r>
      <w:r>
        <w:t>cheie de activitate. În plus, CoR și DG EMPL vor urmări să intensifice schimburile pe aceste teme.</w:t>
      </w:r>
    </w:p>
    <w:p w:rsidR="00E01D16" w:rsidRPr="007D6282" w:rsidRDefault="00E01D16" w:rsidP="00790CAE">
      <w:pPr>
        <w:jc w:val="both"/>
        <w:rPr>
          <w:lang w:val="en-GB"/>
        </w:rPr>
      </w:pPr>
    </w:p>
    <w:p w:rsidR="003E36A3" w:rsidRPr="007D6282" w:rsidRDefault="003E36A3" w:rsidP="00790CAE">
      <w:pPr>
        <w:jc w:val="both"/>
      </w:pPr>
      <w:r>
        <w:t>Pentru a asigura o cooperare consolidată între CoR și DG EMPL, pot fi avute în vedere următoarele măsuri suplimentare:</w:t>
      </w:r>
    </w:p>
    <w:p w:rsidR="005B2DC3" w:rsidRPr="007D6282" w:rsidRDefault="005B2DC3" w:rsidP="00790CAE">
      <w:pPr>
        <w:jc w:val="both"/>
        <w:rPr>
          <w:lang w:val="en-GB"/>
        </w:rPr>
      </w:pPr>
    </w:p>
    <w:p w:rsidR="003E36A3" w:rsidRPr="007D6282" w:rsidRDefault="007A1EBE" w:rsidP="00790CAE">
      <w:pPr>
        <w:pStyle w:val="ListParagraph"/>
        <w:numPr>
          <w:ilvl w:val="0"/>
          <w:numId w:val="17"/>
        </w:numPr>
        <w:spacing w:after="0" w:line="288" w:lineRule="auto"/>
        <w:ind w:left="357" w:hanging="357"/>
        <w:jc w:val="both"/>
      </w:pPr>
      <w:r>
        <w:rPr>
          <w:rFonts w:ascii="Times New Roman" w:hAnsi="Times New Roman"/>
        </w:rPr>
        <w:t>un dialog politic periodic – în cadrul sesiunilor plenare ale CoR și al ședințelor Comisiei SEDEC;</w:t>
      </w:r>
    </w:p>
    <w:p w:rsidR="003E36A3" w:rsidRPr="007D6282" w:rsidRDefault="007A1EBE" w:rsidP="00790CAE">
      <w:pPr>
        <w:pStyle w:val="ListParagraph"/>
        <w:numPr>
          <w:ilvl w:val="0"/>
          <w:numId w:val="17"/>
        </w:numPr>
        <w:spacing w:after="0" w:line="288" w:lineRule="auto"/>
        <w:ind w:left="357" w:hanging="357"/>
        <w:jc w:val="both"/>
      </w:pPr>
      <w:r>
        <w:rPr>
          <w:rFonts w:ascii="Times New Roman" w:hAnsi="Times New Roman"/>
        </w:rPr>
        <w:t>luarea în considerare a participării membrilor și raportorilor CoR la conferințe și evenimente organizate de DG EMPL în cadrul cărora perspectiva locală și regională aduce valoare adăugată;</w:t>
      </w:r>
    </w:p>
    <w:p w:rsidR="003E36A3" w:rsidRPr="007D6282" w:rsidRDefault="007A1EBE" w:rsidP="00790CAE">
      <w:pPr>
        <w:pStyle w:val="ListParagraph"/>
        <w:numPr>
          <w:ilvl w:val="0"/>
          <w:numId w:val="17"/>
        </w:numPr>
        <w:spacing w:after="0" w:line="288" w:lineRule="auto"/>
        <w:ind w:left="357" w:hanging="357"/>
        <w:jc w:val="both"/>
      </w:pPr>
      <w:r>
        <w:rPr>
          <w:rFonts w:ascii="Times New Roman" w:hAnsi="Times New Roman"/>
        </w:rPr>
        <w:t>la cerere, informarea membrilor CoR despre finanțarea și sprijinul politic puse la dispoziție de UE, pentru a ilustra modul în care UE poate ajuta regiunile și orașele în dubla tranziție verde și digitală;</w:t>
      </w:r>
    </w:p>
    <w:p w:rsidR="002E7C63" w:rsidRPr="007D6282" w:rsidRDefault="007A1EBE" w:rsidP="00790CAE">
      <w:pPr>
        <w:pStyle w:val="ListParagraph"/>
        <w:numPr>
          <w:ilvl w:val="0"/>
          <w:numId w:val="17"/>
        </w:numPr>
        <w:spacing w:after="0" w:line="288" w:lineRule="auto"/>
        <w:ind w:left="357" w:hanging="357"/>
        <w:jc w:val="both"/>
      </w:pPr>
      <w:r>
        <w:rPr>
          <w:rFonts w:ascii="Times New Roman" w:hAnsi="Times New Roman"/>
        </w:rPr>
        <w:t>explorarea unor măsuri comune în materie de comunicare, acolo unde este cazul;</w:t>
      </w:r>
    </w:p>
    <w:p w:rsidR="006D7CA9" w:rsidRPr="007D6282" w:rsidRDefault="007A1EBE" w:rsidP="00790CAE">
      <w:pPr>
        <w:pStyle w:val="ListParagraph"/>
        <w:numPr>
          <w:ilvl w:val="0"/>
          <w:numId w:val="17"/>
        </w:numPr>
        <w:spacing w:after="0" w:line="288" w:lineRule="auto"/>
        <w:ind w:left="357" w:hanging="357"/>
        <w:jc w:val="both"/>
      </w:pPr>
      <w:r>
        <w:rPr>
          <w:rFonts w:ascii="Times New Roman" w:hAnsi="Times New Roman"/>
        </w:rPr>
        <w:t>explorarea sinergiilor cu inițiativele altor DG-uri, precum parteneriatul privind economia socială din cadrul platformei tematice S3 în domeniul modernizării industriale (</w:t>
      </w:r>
      <w:hyperlink r:id="rId15" w:history="1">
        <w:r>
          <w:rPr>
            <w:rStyle w:val="Hyperlink"/>
            <w:rFonts w:ascii="Times New Roman" w:hAnsi="Times New Roman"/>
          </w:rPr>
          <w:t>https://s3platform.jrc.ec.europa.eu/social-economy</w:t>
        </w:r>
      </w:hyperlink>
      <w:r>
        <w:rPr>
          <w:rFonts w:ascii="Times New Roman" w:hAnsi="Times New Roman"/>
        </w:rPr>
        <w:t>).</w:t>
      </w:r>
    </w:p>
    <w:p w:rsidR="006D7CA9" w:rsidRPr="007D6282" w:rsidRDefault="006D7CA9" w:rsidP="00790CAE">
      <w:pPr>
        <w:jc w:val="both"/>
        <w:rPr>
          <w:lang w:val="en-GB"/>
        </w:rPr>
      </w:pPr>
    </w:p>
    <w:p w:rsidR="006D7CA9" w:rsidRPr="007D6282" w:rsidRDefault="0068468C" w:rsidP="00790CAE">
      <w:pPr>
        <w:pStyle w:val="Heading1"/>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4. </w:t>
      </w:r>
      <w:r>
        <w:rPr>
          <w:rFonts w:ascii="Times New Roman" w:hAnsi="Times New Roman"/>
          <w:b/>
          <w:color w:val="000000" w:themeColor="text1"/>
          <w:sz w:val="24"/>
          <w:szCs w:val="24"/>
        </w:rPr>
        <w:tab/>
        <w:t>Următoarele etape</w:t>
      </w:r>
    </w:p>
    <w:p w:rsidR="006D7CA9" w:rsidRPr="007D6282" w:rsidRDefault="006D7CA9" w:rsidP="00790CAE">
      <w:pPr>
        <w:keepNext/>
        <w:jc w:val="both"/>
        <w:rPr>
          <w:lang w:val="en-GB"/>
        </w:rPr>
      </w:pPr>
    </w:p>
    <w:p w:rsidR="000F448C" w:rsidRDefault="00DC0DF4" w:rsidP="00790CAE">
      <w:pPr>
        <w:jc w:val="both"/>
      </w:pPr>
      <w:r>
        <w:t>Atât DG EMPL, cât și CoR vor desemna persoane de contact pentru a defini detaliile referitoare la conceptul și modalitățile de organizare a evenimentelor de tipul „Burse europene ale locurilor de muncă la nivel local” și pentru a asigura o bună cooperare și coordonare a acțiunilor la nivel administrativ.</w:t>
      </w:r>
    </w:p>
    <w:p w:rsidR="00A61F67" w:rsidRPr="00024CED" w:rsidRDefault="00A61F67" w:rsidP="00A61F67"/>
    <w:p w:rsidR="00A61F67" w:rsidRPr="00024CED" w:rsidRDefault="00A61F67" w:rsidP="00A61F67">
      <w:pPr>
        <w:jc w:val="center"/>
      </w:pPr>
      <w:r w:rsidRPr="00024CED">
        <w:t>_____________</w:t>
      </w:r>
    </w:p>
    <w:sectPr w:rsidR="00A61F67" w:rsidRPr="00024CED"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2014022340"/>
      <w:docPartObj>
        <w:docPartGallery w:val="Page Numbers (Bottom of Page)"/>
        <w:docPartUnique/>
      </w:docPartObj>
    </w:sdtPr>
    <w:sdtEndPr>
      <w:rPr>
        <w:noProof/>
      </w:rPr>
    </w:sdtEndPr>
    <w:sdtContent>
      <w:p w:rsidR="00EB2F01" w:rsidRPr="00636059" w:rsidRDefault="00636059" w:rsidP="00636059">
        <w:pPr>
          <w:pStyle w:val="Footer"/>
          <w:rPr>
            <w:rFonts w:ascii="Times New Roman" w:hAnsi="Times New Roman" w:cs="Times New Roman"/>
          </w:rPr>
        </w:pPr>
        <w:r w:rsidRPr="00636059">
          <w:rPr>
            <w:rFonts w:ascii="Times New Roman" w:hAnsi="Times New Roman" w:cs="Times New Roman"/>
          </w:rPr>
          <w:t>COR-2020-04835-00-01-TCD-TRA (EN) 1/9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w:t>
        </w:r>
        <w:bookmarkStart w:id="0" w:name="_GoBack"/>
        <w:bookmarkEnd w:id="0"/>
        <w:r>
          <w:rPr>
            <w:rStyle w:val="Hyperlink"/>
            <w:sz w:val="16"/>
            <w:szCs w:val="16"/>
          </w:rPr>
          <w:t>les/reflection-paper-social-dimension-europe_ro.pdf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https://eur-lex.europa.eu/LexUriServ/LexUriServ.do?uri=OJ:C:2012:102:0006:0010:RO:PDF</w:t>
        </w:r>
      </w:hyperlink>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COM(2020) 447 final.</w:t>
      </w:r>
    </w:p>
  </w:footnote>
  <w:footnote w:id="5">
    <w:p w:rsidR="00EB2F01" w:rsidRPr="007D6282" w:rsidRDefault="00EB2F01" w:rsidP="00790CAE">
      <w:pPr>
        <w:pStyle w:val="FootnoteText"/>
        <w:tabs>
          <w:tab w:val="left" w:pos="567"/>
        </w:tabs>
        <w:ind w:left="567" w:hanging="567"/>
        <w:jc w:val="both"/>
        <w:rPr>
          <w:sz w:val="16"/>
          <w:szCs w:val="16"/>
        </w:rPr>
      </w:pPr>
      <w:r>
        <w:rPr>
          <w:rStyle w:val="FootnoteReference"/>
          <w:sz w:val="24"/>
          <w:szCs w:val="24"/>
        </w:rPr>
        <w:footnoteRef/>
      </w:r>
      <w:r>
        <w:rPr>
          <w:rStyle w:val="FootnoteReference"/>
          <w:sz w:val="24"/>
          <w:szCs w:val="24"/>
        </w:rPr>
        <w:t xml:space="preserve"> </w:t>
      </w:r>
      <w:r>
        <w:rPr>
          <w:sz w:val="16"/>
          <w:szCs w:val="16"/>
        </w:rPr>
        <w:tab/>
        <w:t>În cadrul Comunicării intitulate „Sprijinirea ocupării forței de muncă în rândul tinerilor: o punte către locuri de muncă pentru generația viitoare” [COM(2020) 276 final], Comisia a îndemnat statele membre să intensifice sprijinirea ocupării forței de muncă în rândul tinerilor și să majoreze nivelul dedicat acestui obiectiv în comparație cu perioada de finanțare 2014-2020, care este estimată la 22 de miliarde EUR.</w:t>
      </w:r>
    </w:p>
  </w:footnote>
  <w:footnote w:id="6">
    <w:p w:rsidR="00EB2F01" w:rsidRPr="007D6282" w:rsidRDefault="00EB2F01" w:rsidP="00790CAE">
      <w:pPr>
        <w:pStyle w:val="FootnoteText"/>
        <w:tabs>
          <w:tab w:val="left" w:pos="567"/>
        </w:tabs>
        <w:ind w:left="567" w:hanging="567"/>
        <w:jc w:val="both"/>
        <w:rPr>
          <w:sz w:val="16"/>
          <w:szCs w:val="16"/>
        </w:rPr>
      </w:pPr>
      <w:r>
        <w:rPr>
          <w:rStyle w:val="FootnoteReference"/>
          <w:sz w:val="24"/>
          <w:szCs w:val="24"/>
        </w:rPr>
        <w:footnoteRef/>
      </w:r>
      <w:r>
        <w:rPr>
          <w:sz w:val="16"/>
          <w:szCs w:val="16"/>
        </w:rPr>
        <w:t xml:space="preserve"> </w:t>
      </w:r>
      <w:r>
        <w:tab/>
      </w:r>
      <w:r w:rsidRPr="00790CAE">
        <w:rPr>
          <w:sz w:val="16"/>
        </w:rPr>
        <w:t>Recomandarea Consiliului „O punte către locuri de muncă – consolidarea Garanției pentru tineret” a primit acordul politic la nivelul Consiliului și va fi adoptată înainte de sfârșitul anului 2020.</w:t>
      </w:r>
    </w:p>
  </w:footnote>
  <w:footnote w:id="7">
    <w:p w:rsidR="00EB2F01" w:rsidRPr="007D6282" w:rsidRDefault="00EB2F01" w:rsidP="00790CAE">
      <w:pPr>
        <w:pStyle w:val="FootnoteText"/>
        <w:tabs>
          <w:tab w:val="left" w:pos="567"/>
        </w:tabs>
        <w:ind w:left="567" w:hanging="567"/>
        <w:jc w:val="both"/>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rsidP="00790CAE">
      <w:pPr>
        <w:pStyle w:val="FootnoteText"/>
        <w:jc w:val="both"/>
        <w:rPr>
          <w:sz w:val="16"/>
          <w:szCs w:val="16"/>
        </w:rPr>
      </w:pPr>
      <w:r>
        <w:rPr>
          <w:rStyle w:val="FootnoteReference"/>
          <w:sz w:val="24"/>
          <w:szCs w:val="24"/>
        </w:rPr>
        <w:footnoteRef/>
      </w:r>
      <w:r>
        <w:t xml:space="preserve"> </w:t>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B58E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6059"/>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0CAE"/>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1F67"/>
    <w:rsid w:val="00A627FF"/>
    <w:rsid w:val="00A6794C"/>
    <w:rsid w:val="00AA0A34"/>
    <w:rsid w:val="00AA5F23"/>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BF2EF8"/>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5A69"/>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ro-RO"/>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ro-RO"/>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ro-RO"/>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ro-RO"/>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ro-RO"/>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ro-RO"/>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ro-RO"/>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ro-RO"/>
    </w:rPr>
  </w:style>
  <w:style w:type="character" w:customStyle="1" w:styleId="Heading3Char">
    <w:name w:val="Heading 3 Char"/>
    <w:basedOn w:val="DefaultParagraphFont"/>
    <w:link w:val="Heading3"/>
    <w:rsid w:val="00A31CB4"/>
    <w:rPr>
      <w:lang w:val="ro-RO"/>
    </w:rPr>
  </w:style>
  <w:style w:type="character" w:customStyle="1" w:styleId="Heading4Char">
    <w:name w:val="Heading 4 Char"/>
    <w:basedOn w:val="DefaultParagraphFont"/>
    <w:link w:val="Heading4"/>
    <w:rsid w:val="00A31CB4"/>
    <w:rPr>
      <w:lang w:val="ro-RO"/>
    </w:rPr>
  </w:style>
  <w:style w:type="character" w:customStyle="1" w:styleId="Heading5Char">
    <w:name w:val="Heading 5 Char"/>
    <w:basedOn w:val="DefaultParagraphFont"/>
    <w:link w:val="Heading5"/>
    <w:rsid w:val="00A31CB4"/>
    <w:rPr>
      <w:lang w:val="ro-RO"/>
    </w:rPr>
  </w:style>
  <w:style w:type="character" w:customStyle="1" w:styleId="Heading6Char">
    <w:name w:val="Heading 6 Char"/>
    <w:basedOn w:val="DefaultParagraphFont"/>
    <w:link w:val="Heading6"/>
    <w:rsid w:val="00A31CB4"/>
    <w:rPr>
      <w:lang w:val="ro-RO"/>
    </w:rPr>
  </w:style>
  <w:style w:type="character" w:customStyle="1" w:styleId="Heading7Char">
    <w:name w:val="Heading 7 Char"/>
    <w:basedOn w:val="DefaultParagraphFont"/>
    <w:link w:val="Heading7"/>
    <w:rsid w:val="00A31CB4"/>
    <w:rPr>
      <w:lang w:val="ro-RO"/>
    </w:rPr>
  </w:style>
  <w:style w:type="character" w:customStyle="1" w:styleId="Heading8Char">
    <w:name w:val="Heading 8 Char"/>
    <w:basedOn w:val="DefaultParagraphFont"/>
    <w:link w:val="Heading8"/>
    <w:rsid w:val="00A31CB4"/>
    <w:rPr>
      <w:lang w:val="ro-RO"/>
    </w:rPr>
  </w:style>
  <w:style w:type="character" w:customStyle="1" w:styleId="Heading9Char">
    <w:name w:val="Heading 9 Char"/>
    <w:basedOn w:val="DefaultParagraphFont"/>
    <w:link w:val="Heading9"/>
    <w:rsid w:val="00A31CB4"/>
    <w:rPr>
      <w:lang w:val="ro-RO"/>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RO:PDF" TargetMode="External"/><Relationship Id="rId1" Type="http://schemas.openxmlformats.org/officeDocument/2006/relationships/hyperlink" Target="https://ec.europa.eu/commission/sites/beta-political/files/reflection-paper-social-dimension-europe_ro.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3T5AXJEHYTWU-1246943346-5636</_dlc_DocId>
    <_dlc_DocIdUrl xmlns="0b452354-65a4-4dd6-8824-e6b830247e3e">
      <Url>http://dm2016/cor/2020/_layouts/15/DocIdRedir.aspx?ID=3T5AXJEHYTWU-1246943346-5636</Url>
      <Description>3T5AXJEHYTWU-1246943346-5636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2020-11-23T12:00:00+00:00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E5AFC8B9-F5EF-4888-8F1F-D3C1C4FF1BF0}"/>
</file>

<file path=customXml/itemProps2.xml><?xml version="1.0" encoding="utf-8"?>
<ds:datastoreItem xmlns:ds="http://schemas.openxmlformats.org/officeDocument/2006/customXml" ds:itemID="{C1311275-3E13-44C2-8B52-70885CFE5C0D}"/>
</file>

<file path=customXml/itemProps3.xml><?xml version="1.0" encoding="utf-8"?>
<ds:datastoreItem xmlns:ds="http://schemas.openxmlformats.org/officeDocument/2006/customXml" ds:itemID="{775865B8-C56A-4D1E-96DD-FDEEB3EF3649}"/>
</file>

<file path=customXml/itemProps4.xml><?xml version="1.0" encoding="utf-8"?>
<ds:datastoreItem xmlns:ds="http://schemas.openxmlformats.org/officeDocument/2006/customXml" ds:itemID="{07D728B3-6FCF-4CD7-B6CB-F888EC7007BA}"/>
</file>

<file path=docProps/app.xml><?xml version="1.0" encoding="utf-8"?>
<Properties xmlns="http://schemas.openxmlformats.org/officeDocument/2006/extended-properties" xmlns:vt="http://schemas.openxmlformats.org/officeDocument/2006/docPropsVTypes">
  <Template>Styles</Template>
  <TotalTime>16</TotalTime>
  <Pages>9</Pages>
  <Words>3117</Words>
  <Characters>17773</Characters>
  <Application>Microsoft Office Word</Application>
  <DocSecurity>0</DocSecurity>
  <Lines>148</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20849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Documentul comun CoR - DG EMPL: Domenii pentru o cooperare consolidată</dc:title>
  <dc:creator>Thomas Wobben</dc:creator>
  <cp:keywords>COR-2020-04835-00-01-TCD-TRA-EN</cp:keywords>
  <dc:description>Rapporteur:  - Original language: EN - Date of document: 23/11/2020 - Date of meeting: 25/11/2020 - External documents:  - Administrator:  PETRAS Georgios</dc:description>
  <cp:lastModifiedBy>Stoian Andreea Alina</cp:lastModifiedBy>
  <cp:revision>5</cp:revision>
  <cp:lastPrinted>2020-10-07T12:59:00Z</cp:lastPrinted>
  <dcterms:created xsi:type="dcterms:W3CDTF">2020-11-23T17:01:00Z</dcterms:created>
  <dcterms:modified xsi:type="dcterms:W3CDTF">2020-11-23T17:40:00Z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ecef8187-238d-4333-9f23-50bef323331f</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2" name="DocumentSource_0">
    <vt:lpwstr>CoR|cb2d75ef-4a7d-4393-b797-49ed6298a5ea</vt:lpwstr>
  </property>
  <property fmtid="{D5CDD505-2E9C-101B-9397-08002B2CF9AE}" pid="13" name="ProductionDate">
    <vt:filetime>2020-11-23T12:00:00Z</vt:filetime>
  </property>
  <property fmtid="{D5CDD505-2E9C-101B-9397-08002B2CF9AE}" pid="14" name="FicheYear">
    <vt:i4>2020</vt:i4>
  </property>
  <property fmtid="{D5CDD505-2E9C-101B-9397-08002B2CF9AE}" pid="15" name="DocumentNumber">
    <vt:i4>4835</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7;#EN|f2175f21-25d7-44a3-96da-d6a61b075e1b</vt:lpwstr>
  </property>
  <property fmtid="{D5CDD505-2E9C-101B-9397-08002B2CF9AE}" pid="23" name="MeetingName">
    <vt:lpwstr>50;#SEDEC-VII|2234d809-5ab4-4b5b-84d4-8dd3531523c3</vt:lpwstr>
  </property>
  <property fmtid="{D5CDD505-2E9C-101B-9397-08002B2CF9AE}" pid="24" name="MeetingDate">
    <vt:filetime>2020-11-25T12:00:00Z</vt:filetime>
  </property>
  <property fmtid="{D5CDD505-2E9C-101B-9397-08002B2CF9AE}" pid="25" name="TaxCatchAll">
    <vt:lpwstr>35;#PT|50ccc04a-eadd-42ae-a0cb-acaf45f812ba;#31;#LV|46f7e311-5d9f-4663-b433-18aeccb7ace7;#30;#DA|5d49c027-8956-412b-aa16-e85a0f96ad0e;#29;#SV|c2ed69e7-a339-43d7-8f22-d93680a92aa0;#26;#SL|98a412ae-eb01-49e9-ae3d-585a81724cfc;#25;#ET|ff6c3f4c-b02c-4c3c-ab07-2c37995a7a0a;#38;#RO|feb747a2-64cd-4299-af12-4833ddc30497;#23;#DE|f6b31e5a-26fa-4935-b661-318e46daf27e;#22;#TCD|cd9d6eb6-3f4f-424a-b2d1-57c9d450eaaf;#19;#LT|a7ff5ce7-6123-4f68-865a-a57c31810414;#17;#PL|1e03da61-4678-4e07-b136-b5024ca9197b;#14;#MT|7df99101-6854-4a26-b53a-b88c0da02c26;#13;#HR|2f555653-ed1a-4fe6-8362-9082d95989e5;#11;#IT|0774613c-01ed-4e5d-a25d-11d2388de825;#50;#SEDEC-VII|2234d809-5ab4-4b5b-84d4-8dd3531523c3;#8;#TRA|150d2a88-1431-44e6-a8ca-0bb753ab8672;#7;#EN|f2175f21-25d7-44a3-96da-d6a61b075e1b;#6;#Final|ea5e6674-7b27-4bac-b091-73adbb394efe;#5;#Unrestricted|826e22d7-d029-4ec0-a450-0c28ff673572;#1;#CoR|cb2d75ef-4a7d-4393-b797-49ed6298a5ea;#37;#BG|1a1b3951-7821-4e6a-85f5-5673fc08bd2c</vt:lpwstr>
  </property>
  <property fmtid="{D5CDD505-2E9C-101B-9397-08002B2CF9AE}" pid="26" name="DocumentLanguage_0">
    <vt:lpwstr>RO|feb747a2-64cd-4299-af12-4833ddc30497</vt:lpwstr>
  </property>
  <property fmtid="{D5CDD505-2E9C-101B-9397-08002B2CF9AE}" pid="27" name="VersionStatus_0">
    <vt:lpwstr>Final|ea5e6674-7b27-4bac-b091-73adbb394efe</vt:lpwstr>
  </property>
  <property fmtid="{D5CDD505-2E9C-101B-9397-08002B2CF9AE}" pid="28" name="VersionStatus">
    <vt:lpwstr>6;#Final|ea5e6674-7b27-4bac-b091-73adbb394efe</vt:lpwstr>
  </property>
  <property fmtid="{D5CDD505-2E9C-101B-9397-08002B2CF9AE}" pid="30" name="DocumentYear">
    <vt:i4>2020</vt:i4>
  </property>
  <property fmtid="{D5CDD505-2E9C-101B-9397-08002B2CF9AE}" pid="31" name="FicheNumber">
    <vt:i4>12567</vt:i4>
  </property>
  <property fmtid="{D5CDD505-2E9C-101B-9397-08002B2CF9AE}" pid="32" name="DocumentPart">
    <vt:i4>0</vt:i4>
  </property>
  <property fmtid="{D5CDD505-2E9C-101B-9397-08002B2CF9AE}" pid="33" name="DocumentSource">
    <vt:lpwstr>1;#CoR|cb2d75ef-4a7d-4393-b797-49ed6298a5ea</vt:lpwstr>
  </property>
  <property fmtid="{D5CDD505-2E9C-101B-9397-08002B2CF9AE}" pid="35" name="DocumentType">
    <vt:lpwstr>22;#TCD|cd9d6eb6-3f4f-424a-b2d1-57c9d450eaaf</vt:lpwstr>
  </property>
  <property fmtid="{D5CDD505-2E9C-101B-9397-08002B2CF9AE}" pid="36" name="RequestingService">
    <vt:lpwstr>Commission SEDEC</vt:lpwstr>
  </property>
  <property fmtid="{D5CDD505-2E9C-101B-9397-08002B2CF9AE}" pid="37" name="MeetingName_0">
    <vt:lpwstr>SEDEC-VII|2234d809-5ab4-4b5b-84d4-8dd3531523c3</vt:lpwstr>
  </property>
  <property fmtid="{D5CDD505-2E9C-101B-9397-08002B2CF9AE}" pid="38" name="DocumentLanguage">
    <vt:lpwstr>38;#RO|feb747a2-64cd-4299-af12-4833ddc30497</vt:lpwstr>
  </property>
  <property fmtid="{D5CDD505-2E9C-101B-9397-08002B2CF9AE}" pid="39" name="AvailableTranslations_0">
    <vt:lpwstr>LV|46f7e311-5d9f-4663-b433-18aeccb7ace7;LT|a7ff5ce7-6123-4f68-865a-a57c31810414;PT|50ccc04a-eadd-42ae-a0cb-acaf45f812ba;HR|2f555653-ed1a-4fe6-8362-9082d95989e5;RO|feb747a2-64cd-4299-af12-4833ddc30497;MT|7df99101-6854-4a26-b53a-b88c0da02c26;DE|f6b31e5a-26fa-4935-b661-318e46daf27e;DA|5d49c027-8956-412b-aa16-e85a0f96ad0e;SL|98a412ae-eb01-49e9-ae3d-585a81724cfc;PL|1e03da61-4678-4e07-b136-b5024ca9197b;BG|1a1b3951-7821-4e6a-85f5-5673fc08bd2c;SV|c2ed69e7-a339-43d7-8f22-d93680a92aa0;ET|ff6c3f4c-b02c-4c3c-ab07-2c37995a7a0a;IT|0774613c-01ed-4e5d-a25d-11d2388de825;EN|f2175f21-25d7-44a3-96da-d6a61b075e1b</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2" name="MeetingNumber">
    <vt:i4>5</vt:i4>
  </property>
  <property fmtid="{D5CDD505-2E9C-101B-9397-08002B2CF9AE}" pid="43" name="DossierName_0">
    <vt:lpwstr/>
  </property>
</Properties>
</file>