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464DC" w:rsidTr="008464DC">
        <w:tc>
          <w:tcPr>
            <w:tcW w:w="4531" w:type="dxa"/>
          </w:tcPr>
          <w:p w:rsidR="008464DC" w:rsidRDefault="008464DC" w:rsidP="00B43B65">
            <w:pPr>
              <w:spacing w:after="0" w:line="288" w:lineRule="auto"/>
            </w:pPr>
            <w:r w:rsidRPr="008464DC">
              <w:rPr>
                <w:noProof/>
                <w:lang w:val="en-GB" w:eastAsia="en-GB"/>
              </w:rPr>
              <w:drawing>
                <wp:inline distT="0" distB="0" distL="0" distR="0" wp14:anchorId="1146134B" wp14:editId="485EF16C">
                  <wp:extent cx="1511668" cy="1308967"/>
                  <wp:effectExtent l="0" t="0" r="0" b="5715"/>
                  <wp:docPr id="30" name="Picture 30" descr="C:\Users\mreg\Music\New LOGO CoR\Logo\logo_CoR-vertical-positive-sl-quadri_MR.jpg" title="CoRLogo_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reg\Music\New LOGO CoR\Logo\logo_CoR-vertical-positive-sl-quadri_MR.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9419" cy="1315679"/>
                          </a:xfrm>
                          <a:prstGeom prst="rect">
                            <a:avLst/>
                          </a:prstGeom>
                          <a:noFill/>
                          <a:ln>
                            <a:noFill/>
                          </a:ln>
                        </pic:spPr>
                      </pic:pic>
                    </a:graphicData>
                  </a:graphic>
                </wp:inline>
              </w:drawing>
            </w:r>
          </w:p>
        </w:tc>
        <w:tc>
          <w:tcPr>
            <w:tcW w:w="4531" w:type="dxa"/>
            <w:vAlign w:val="center"/>
          </w:tcPr>
          <w:p w:rsidR="008464DC" w:rsidRDefault="008464DC" w:rsidP="00B43B65">
            <w:pPr>
              <w:spacing w:after="0" w:line="288" w:lineRule="auto"/>
            </w:pPr>
            <w:r w:rsidRPr="00B43B65">
              <w:rPr>
                <w:noProof/>
                <w:lang w:val="en-GB" w:eastAsia="en-GB"/>
              </w:rPr>
              <w:drawing>
                <wp:anchor distT="0" distB="0" distL="114300" distR="114300" simplePos="0" relativeHeight="251658240" behindDoc="0" locked="0" layoutInCell="1" allowOverlap="1" wp14:anchorId="7062ED57" wp14:editId="16948DED">
                  <wp:simplePos x="0" y="0"/>
                  <wp:positionH relativeFrom="margin">
                    <wp:posOffset>1124339</wp:posOffset>
                  </wp:positionH>
                  <wp:positionV relativeFrom="paragraph">
                    <wp:posOffset>69744</wp:posOffset>
                  </wp:positionV>
                  <wp:extent cx="1538690" cy="1183963"/>
                  <wp:effectExtent l="0" t="0" r="4445" b="0"/>
                  <wp:wrapNone/>
                  <wp:docPr id="5" name="Picture 5"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for Word EN Positiv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38690" cy="1183963"/>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8464DC" w:rsidRPr="00B43B65" w:rsidRDefault="008464DC" w:rsidP="00B43B65">
      <w:pPr>
        <w:spacing w:after="0" w:line="288" w:lineRule="auto"/>
      </w:pPr>
    </w:p>
    <w:p w:rsidR="00B87B5D" w:rsidRPr="00B43B65" w:rsidRDefault="00B87B5D" w:rsidP="00B43B65">
      <w:pPr>
        <w:spacing w:after="0" w:line="288" w:lineRule="auto"/>
      </w:pPr>
      <w:bookmarkStart w:id="0" w:name="_GoBack"/>
      <w:bookmarkEnd w:id="0"/>
    </w:p>
    <w:p w:rsidR="0072285A" w:rsidRPr="00B43B65" w:rsidRDefault="00C34231" w:rsidP="00B43B65">
      <w:pPr>
        <w:suppressAutoHyphens/>
        <w:spacing w:after="0" w:line="288" w:lineRule="auto"/>
        <w:jc w:val="center"/>
        <w:rPr>
          <w:b/>
          <w:sz w:val="36"/>
          <w:u w:val="single"/>
        </w:rPr>
      </w:pPr>
      <w:r w:rsidRPr="00B43B65">
        <w:rPr>
          <w:b/>
          <w:sz w:val="36"/>
          <w:u w:val="single"/>
        </w:rPr>
        <w:t>Področja okrepljenega sodelovanja</w:t>
      </w:r>
      <w:r w:rsidRPr="00B43B65">
        <w:rPr>
          <w:b/>
          <w:sz w:val="36"/>
          <w:u w:val="single"/>
        </w:rPr>
        <w:br/>
        <w:t>med Evropskim odborom regij (OR) in generalnim direktoratom Evropske komisije za zaposlovanje, socialne zadeve in vključevanje (GD EMPL)</w:t>
      </w:r>
    </w:p>
    <w:p w:rsidR="001C24E4" w:rsidRPr="00B43B65" w:rsidRDefault="00B43B65" w:rsidP="00B43B65">
      <w:r w:rsidRPr="00B43B65">
        <w:rPr>
          <w:noProof/>
          <w:sz w:val="20"/>
          <w:lang w:val="en-GB" w:eastAsia="en-GB"/>
        </w:rPr>
        <mc:AlternateContent>
          <mc:Choice Requires="wps">
            <w:drawing>
              <wp:anchor distT="0" distB="0" distL="114300" distR="114300" simplePos="0" relativeHeight="251660288"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3B65" w:rsidRPr="00260E65" w:rsidRDefault="00B43B65">
                            <w:pPr>
                              <w:jc w:val="center"/>
                              <w:rPr>
                                <w:rFonts w:ascii="Arial" w:hAnsi="Arial" w:cs="Arial"/>
                                <w:b/>
                                <w:bCs/>
                                <w:sz w:val="48"/>
                                <w:lang w:val="nl-BE"/>
                              </w:rPr>
                            </w:pPr>
                            <w:r>
                              <w:rPr>
                                <w:rFonts w:ascii="Arial" w:hAnsi="Arial" w:cs="Arial"/>
                                <w:b/>
                                <w:bCs/>
                                <w:sz w:val="48"/>
                                <w:lang w:val="nl-BE"/>
                              </w:rPr>
                              <w:t>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26" type="#_x0000_t202" style="position:absolute;margin-left:533pt;margin-top:793.8pt;width:51pt;height:3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QzgtgIAALk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o4UM4LYCAAC5&#10;BQAADgAAAAAAAAAAAAAAAAAuAgAAZHJzL2Uyb0RvYy54bWxQSwECLQAUAAYACAAAACEA61QxWt4A&#10;AAAPAQAADwAAAAAAAAAAAAAAAAAQBQAAZHJzL2Rvd25yZXYueG1sUEsFBgAAAAAEAAQA8wAAABsG&#10;AAAAAA==&#10;" o:allowincell="f" filled="f" stroked="f">
                <v:textbox>
                  <w:txbxContent>
                    <w:p w:rsidR="00B43B65" w:rsidRPr="00260E65" w:rsidRDefault="00B43B65">
                      <w:pPr>
                        <w:jc w:val="center"/>
                        <w:rPr>
                          <w:rFonts w:ascii="Arial" w:hAnsi="Arial" w:cs="Arial"/>
                          <w:b/>
                          <w:bCs/>
                          <w:sz w:val="48"/>
                          <w:lang w:val="nl-BE"/>
                        </w:rPr>
                      </w:pPr>
                      <w:r>
                        <w:rPr>
                          <w:rFonts w:ascii="Arial" w:hAnsi="Arial" w:cs="Arial"/>
                          <w:b/>
                          <w:bCs/>
                          <w:sz w:val="48"/>
                          <w:lang w:val="nl-BE"/>
                        </w:rPr>
                        <w:t>SL</w:t>
                      </w:r>
                    </w:p>
                  </w:txbxContent>
                </v:textbox>
                <w10:wrap anchorx="page" anchory="page"/>
              </v:shape>
            </w:pict>
          </mc:Fallback>
        </mc:AlternateContent>
      </w:r>
    </w:p>
    <w:p w:rsidR="009521C5" w:rsidRPr="00B43B65" w:rsidRDefault="009521C5" w:rsidP="00B43B65">
      <w:pPr>
        <w:pStyle w:val="Heading1"/>
        <w:keepNext w:val="0"/>
        <w:keepLines w:val="0"/>
        <w:numPr>
          <w:ilvl w:val="0"/>
          <w:numId w:val="22"/>
        </w:numPr>
        <w:suppressAutoHyphens/>
        <w:spacing w:before="0" w:after="0" w:line="288" w:lineRule="auto"/>
        <w:ind w:left="567" w:hanging="567"/>
        <w:rPr>
          <w:rFonts w:ascii="Times New Roman" w:hAnsi="Times New Roman"/>
          <w:color w:val="auto"/>
          <w:sz w:val="24"/>
        </w:rPr>
      </w:pPr>
      <w:r w:rsidRPr="00B43B65">
        <w:rPr>
          <w:rFonts w:ascii="Times New Roman" w:hAnsi="Times New Roman"/>
          <w:b/>
          <w:color w:val="auto"/>
          <w:sz w:val="24"/>
        </w:rPr>
        <w:t>Uvod</w:t>
      </w:r>
    </w:p>
    <w:p w:rsidR="00014693" w:rsidRPr="00B43B65" w:rsidRDefault="00014693" w:rsidP="00B43B65">
      <w:pPr>
        <w:suppressAutoHyphens/>
        <w:spacing w:after="0" w:line="288" w:lineRule="auto"/>
        <w:rPr>
          <w:sz w:val="24"/>
          <w:szCs w:val="24"/>
        </w:rPr>
      </w:pPr>
    </w:p>
    <w:p w:rsidR="00014E6A" w:rsidRPr="00B43B65" w:rsidRDefault="00C82EBC" w:rsidP="00B43B65">
      <w:pPr>
        <w:suppressAutoHyphens/>
        <w:spacing w:after="0" w:line="288" w:lineRule="auto"/>
        <w:jc w:val="both"/>
        <w:rPr>
          <w:color w:val="000000"/>
        </w:rPr>
      </w:pPr>
      <w:r w:rsidRPr="00B43B65">
        <w:t>Jasno je, pa ne samo zaradi krize COVID-19, da je „socialna Evropa“ bistvena za prispevek EU k demokratičnim, povezanim, kulturno raznolikim in uspešnim družbam. Pomeni gospodarski in socialni napredek, boj proti diskriminaciji in socialni izključenosti ter zagotavljanje, da so Evropejci pripravljeni za trg dela in da so s svojim življenjem zadovoljni</w:t>
      </w:r>
      <w:r w:rsidR="00014E6A" w:rsidRPr="00B43B65">
        <w:rPr>
          <w:rStyle w:val="FootnoteReference"/>
        </w:rPr>
        <w:footnoteReference w:id="2"/>
      </w:r>
      <w:r w:rsidR="00B43B65" w:rsidRPr="00B43B65">
        <w:t>.</w:t>
      </w:r>
    </w:p>
    <w:p w:rsidR="00014E6A" w:rsidRPr="00B43B65" w:rsidRDefault="00014E6A" w:rsidP="00B43B65">
      <w:pPr>
        <w:suppressAutoHyphens/>
        <w:spacing w:after="0" w:line="288" w:lineRule="auto"/>
        <w:rPr>
          <w:color w:val="000000"/>
        </w:rPr>
      </w:pPr>
    </w:p>
    <w:p w:rsidR="00014E6A" w:rsidRPr="00B43B65" w:rsidRDefault="00014E6A" w:rsidP="00B43B65">
      <w:pPr>
        <w:suppressAutoHyphens/>
        <w:spacing w:after="0" w:line="288" w:lineRule="auto"/>
        <w:jc w:val="both"/>
      </w:pPr>
      <w:r w:rsidRPr="00B43B65">
        <w:t>Evropski odbor regij (OR) in GD za zaposlovanje, socialne zadeve in vključevanje (GD EMPL) sta v preteklosti že sodelovala na več področjih, vendar je jasno, da prihodnji izzivi in velik interes pristojnega komisarja ponujajo priložnost, da se sodelovanje med Komisijo in OR na tem</w:t>
      </w:r>
      <w:r w:rsidR="00B43B65" w:rsidRPr="00B43B65">
        <w:t xml:space="preserve"> področju dvigne na novo raven.</w:t>
      </w:r>
    </w:p>
    <w:p w:rsidR="00014E6A" w:rsidRPr="00B43B65" w:rsidRDefault="00014E6A" w:rsidP="00B43B65">
      <w:pPr>
        <w:suppressAutoHyphens/>
        <w:spacing w:after="0" w:line="288" w:lineRule="auto"/>
      </w:pPr>
    </w:p>
    <w:p w:rsidR="00014E6A" w:rsidRPr="00B43B65" w:rsidRDefault="00014E6A" w:rsidP="00B43B65">
      <w:pPr>
        <w:pStyle w:val="ListParagraph"/>
        <w:numPr>
          <w:ilvl w:val="0"/>
          <w:numId w:val="26"/>
        </w:numPr>
        <w:suppressAutoHyphens/>
        <w:spacing w:after="0" w:line="288" w:lineRule="auto"/>
        <w:ind w:left="360"/>
        <w:jc w:val="both"/>
      </w:pPr>
      <w:r w:rsidRPr="00B43B65">
        <w:rPr>
          <w:rFonts w:ascii="Times New Roman" w:hAnsi="Times New Roman"/>
        </w:rPr>
        <w:t>Komisar Schmit je pokazal izjemno zanimanje za OR, saj se je v manj kot enem letu udeležil že dveh plenarnih zasedanj in seje komisije za socialno politiko, izobraževanje, zaposlovanje, raziskave i</w:t>
      </w:r>
      <w:r w:rsidR="00B43B65" w:rsidRPr="00B43B65">
        <w:rPr>
          <w:rFonts w:ascii="Times New Roman" w:hAnsi="Times New Roman"/>
        </w:rPr>
        <w:t>n kulturo (SEDEC).</w:t>
      </w:r>
    </w:p>
    <w:p w:rsidR="00164C40" w:rsidRPr="00B43B65" w:rsidRDefault="00164C40" w:rsidP="00B43B65">
      <w:pPr>
        <w:pStyle w:val="ListParagraph"/>
        <w:numPr>
          <w:ilvl w:val="0"/>
          <w:numId w:val="26"/>
        </w:numPr>
        <w:suppressAutoHyphens/>
        <w:spacing w:after="0" w:line="288" w:lineRule="auto"/>
        <w:ind w:left="360"/>
        <w:jc w:val="both"/>
      </w:pPr>
      <w:r w:rsidRPr="00B43B65">
        <w:rPr>
          <w:rFonts w:ascii="Times New Roman" w:hAnsi="Times New Roman"/>
        </w:rPr>
        <w:t>Joost Korte (generalni direktor GD EMPL) se je februarja 2020 udeležil seje komisije SEDEC, kjer je imel govor, v katerem je člane OR spodbudil k predložitvi povratnih informacij, kot je pozvala Komisija v sporočilu z naslovom Močna socialna Evropa za pravičen prehod (komisija SEDEC že pripravlja mnenje o tem).</w:t>
      </w:r>
    </w:p>
    <w:p w:rsidR="00164C40" w:rsidRPr="00B43B65" w:rsidRDefault="00164C40" w:rsidP="00B43B65">
      <w:pPr>
        <w:pStyle w:val="ListParagraph"/>
        <w:numPr>
          <w:ilvl w:val="0"/>
          <w:numId w:val="26"/>
        </w:numPr>
        <w:suppressAutoHyphens/>
        <w:spacing w:after="0" w:line="288" w:lineRule="auto"/>
        <w:ind w:left="360"/>
        <w:jc w:val="both"/>
      </w:pPr>
      <w:r w:rsidRPr="00B43B65">
        <w:rPr>
          <w:rFonts w:ascii="Times New Roman" w:hAnsi="Times New Roman"/>
        </w:rPr>
        <w:t>Komisar in generalni direktor sta jasno izjavila, da pričakujeta, da bo OR dejavno sodeloval pri pripravi socialnega vrha v Portu (maja 2021) in akcijskega načrta za izvajanje evropskega stebra socialnih pravic.</w:t>
      </w:r>
    </w:p>
    <w:p w:rsidR="006A6308" w:rsidRPr="00B43B65" w:rsidRDefault="006A6308" w:rsidP="00B43B65">
      <w:pPr>
        <w:pStyle w:val="ListParagraph"/>
        <w:numPr>
          <w:ilvl w:val="0"/>
          <w:numId w:val="26"/>
        </w:numPr>
        <w:suppressAutoHyphens/>
        <w:spacing w:after="0" w:line="288" w:lineRule="auto"/>
        <w:ind w:left="360"/>
        <w:jc w:val="both"/>
      </w:pPr>
      <w:r w:rsidRPr="00B43B65">
        <w:rPr>
          <w:rFonts w:ascii="Times New Roman" w:hAnsi="Times New Roman"/>
        </w:rPr>
        <w:lastRenderedPageBreak/>
        <w:t>Duh medsebojnega sodelovanja se je še naprej spodbujal na srečanju komisarja in predsednika OR (9. julija), na katerem je bilo potrjeno, da bi morali obe instituciji poiskati več priložnosti za sodelovanje.</w:t>
      </w:r>
    </w:p>
    <w:p w:rsidR="00864E4E" w:rsidRPr="00B43B65" w:rsidRDefault="00864E4E" w:rsidP="00B43B65">
      <w:pPr>
        <w:suppressAutoHyphens/>
        <w:spacing w:after="0" w:line="288" w:lineRule="auto"/>
        <w:jc w:val="both"/>
      </w:pPr>
      <w:r w:rsidRPr="00B43B65">
        <w:t>V Protokolu o sodelovanju med Evropsko komisijo in Odborom regij (2012/C 102/02)</w:t>
      </w:r>
      <w:r w:rsidRPr="00B43B65">
        <w:footnoteReference w:id="3"/>
      </w:r>
      <w:r w:rsidRPr="00B43B65">
        <w:t xml:space="preserve"> sta se Komisija in OR dogovorila, da bosta okrepila sodelovanje. V tem skupnem obvestilu OR in GD EMPL so opredeljena področja politike za okrepljeno sodelovanje in glavni instrumenti.</w:t>
      </w:r>
    </w:p>
    <w:p w:rsidR="003D208F" w:rsidRPr="00B43B65" w:rsidRDefault="003D208F" w:rsidP="00B43B65">
      <w:pPr>
        <w:suppressAutoHyphens/>
        <w:spacing w:after="0" w:line="288" w:lineRule="auto"/>
      </w:pPr>
    </w:p>
    <w:p w:rsidR="00EB524C" w:rsidRPr="00B43B65" w:rsidRDefault="00EA2779" w:rsidP="00B43B65">
      <w:pPr>
        <w:pStyle w:val="Heading1"/>
        <w:keepNext w:val="0"/>
        <w:keepLines w:val="0"/>
        <w:numPr>
          <w:ilvl w:val="0"/>
          <w:numId w:val="22"/>
        </w:numPr>
        <w:suppressAutoHyphens/>
        <w:spacing w:before="0" w:after="0" w:line="288" w:lineRule="auto"/>
        <w:ind w:left="567" w:hanging="567"/>
        <w:rPr>
          <w:rFonts w:ascii="Times New Roman" w:hAnsi="Times New Roman"/>
          <w:color w:val="auto"/>
          <w:sz w:val="24"/>
        </w:rPr>
      </w:pPr>
      <w:r w:rsidRPr="00B43B65">
        <w:rPr>
          <w:rFonts w:ascii="Times New Roman" w:hAnsi="Times New Roman"/>
          <w:b/>
          <w:color w:val="auto"/>
          <w:sz w:val="24"/>
        </w:rPr>
        <w:t>Ključne teme za tesnejše sodelovanje med OR in GD EMPL</w:t>
      </w:r>
    </w:p>
    <w:p w:rsidR="004D765D" w:rsidRPr="00B43B65" w:rsidRDefault="004D765D" w:rsidP="00B43B65">
      <w:pPr>
        <w:suppressAutoHyphens/>
        <w:spacing w:after="0" w:line="288" w:lineRule="auto"/>
      </w:pPr>
    </w:p>
    <w:p w:rsidR="00964812" w:rsidRPr="00B43B65" w:rsidRDefault="008E118B" w:rsidP="00B43B65">
      <w:pPr>
        <w:suppressAutoHyphens/>
        <w:spacing w:after="0" w:line="288" w:lineRule="auto"/>
        <w:jc w:val="both"/>
      </w:pPr>
      <w:r w:rsidRPr="00B43B65">
        <w:t>Glede na širok obseg tem, povezanih s socialno razsežnostjo, in ob upoštevanju razpoložljivih virov je pomembno, da se okrepljeno sodelovanje osredotoči na področja, na katerih lahko OR zagotovi jasno dodano vrednost in kjer je teritorialna razsežnost najmočnejša. Področja okrepljenega sodelovanja, zlasti pri spodbujanju socialne ekonomije, ki pa ne preprečujejo sodelovanja na drugih področjih, so:</w:t>
      </w:r>
    </w:p>
    <w:p w:rsidR="003D208F" w:rsidRPr="00B43B65" w:rsidRDefault="003D208F" w:rsidP="00B43B65">
      <w:pPr>
        <w:suppressAutoHyphens/>
        <w:spacing w:after="0" w:line="288" w:lineRule="auto"/>
      </w:pPr>
    </w:p>
    <w:p w:rsidR="00EA2779" w:rsidRPr="00B43B65" w:rsidRDefault="00EA2779" w:rsidP="00B43B65">
      <w:pPr>
        <w:pStyle w:val="Heading2"/>
        <w:suppressAutoHyphens/>
        <w:spacing w:after="0" w:line="288" w:lineRule="auto"/>
        <w:rPr>
          <w:rFonts w:cstheme="minorHAnsi"/>
        </w:rPr>
      </w:pPr>
      <w:r w:rsidRPr="00B43B65">
        <w:t>2.1.</w:t>
      </w:r>
      <w:r w:rsidRPr="00B43B65">
        <w:tab/>
      </w:r>
      <w:r w:rsidRPr="00B43B65">
        <w:rPr>
          <w:rFonts w:ascii="Times New Roman" w:hAnsi="Times New Roman"/>
          <w:b/>
          <w:sz w:val="24"/>
          <w:szCs w:val="32"/>
        </w:rPr>
        <w:t>Evropski steber socialnih pravic</w:t>
      </w:r>
    </w:p>
    <w:p w:rsidR="00EA2779" w:rsidRPr="00B43B65" w:rsidRDefault="00EA2779" w:rsidP="00B43B65">
      <w:pPr>
        <w:suppressAutoHyphens/>
        <w:spacing w:after="0" w:line="288" w:lineRule="auto"/>
        <w:rPr>
          <w:b/>
          <w:u w:val="single"/>
        </w:rPr>
      </w:pPr>
    </w:p>
    <w:p w:rsidR="005366D6" w:rsidRPr="00B43B65" w:rsidRDefault="005366D6" w:rsidP="00B43B65">
      <w:pPr>
        <w:suppressAutoHyphens/>
        <w:spacing w:after="0" w:line="288" w:lineRule="auto"/>
        <w:jc w:val="both"/>
        <w:rPr>
          <w:szCs w:val="24"/>
        </w:rPr>
      </w:pPr>
      <w:r w:rsidRPr="00B43B65">
        <w:t>Evropski steber socialnih pravic je sporazumni dokument, ki odraža pomen Unije na področju zaposlovanja in socialnih zadev.</w:t>
      </w:r>
      <w:r w:rsidRPr="00B43B65">
        <w:rPr>
          <w:i/>
          <w:szCs w:val="24"/>
        </w:rPr>
        <w:t xml:space="preserve"> </w:t>
      </w:r>
      <w:r w:rsidRPr="00B43B65">
        <w:t>Razglašen je bil na najvišji politični ravni in je že prinesel daljnosežne ukrepe na ravni EU ter nacionalni, regionalni in lokalni ravni, ki krepijo socialno razsežnost EU. Komisija je v sporočilu z dne 27. maja 2020 v središče svojega načrta za pravično in vključujoče okrevanje po krizi zaradi COVID-19 postavila tudi evropski steber socialnih pravic.</w:t>
      </w:r>
    </w:p>
    <w:p w:rsidR="005366D6" w:rsidRPr="00B43B65" w:rsidRDefault="005366D6" w:rsidP="00B43B65">
      <w:pPr>
        <w:suppressAutoHyphens/>
        <w:spacing w:after="0" w:line="288" w:lineRule="auto"/>
        <w:rPr>
          <w:szCs w:val="24"/>
          <w:lang w:eastAsia="fr-BE"/>
        </w:rPr>
      </w:pPr>
    </w:p>
    <w:p w:rsidR="005366D6" w:rsidRPr="00B43B65" w:rsidRDefault="005366D6" w:rsidP="00B43B65">
      <w:pPr>
        <w:suppressAutoHyphens/>
        <w:spacing w:after="0" w:line="288" w:lineRule="auto"/>
        <w:jc w:val="both"/>
        <w:rPr>
          <w:szCs w:val="24"/>
        </w:rPr>
      </w:pPr>
      <w:r w:rsidRPr="00B43B65">
        <w:t xml:space="preserve">Strateška agenda za obdobje 2019–2024, o kateri se je Evropski svet dogovoril junija 2019, vsebuje poziv k izvajanju stebra na ravni EU in držav članic ob ustreznem upoštevanju ustreznih pristojnosti. </w:t>
      </w:r>
    </w:p>
    <w:p w:rsidR="003D208F" w:rsidRPr="00B43B65" w:rsidRDefault="003D208F" w:rsidP="00B43B65">
      <w:pPr>
        <w:suppressAutoHyphens/>
        <w:spacing w:after="0" w:line="288" w:lineRule="auto"/>
        <w:rPr>
          <w:szCs w:val="24"/>
          <w:lang w:eastAsia="en-GB"/>
        </w:rPr>
      </w:pPr>
    </w:p>
    <w:p w:rsidR="005366D6" w:rsidRPr="00B43B65" w:rsidRDefault="005366D6" w:rsidP="00B43B65">
      <w:pPr>
        <w:suppressAutoHyphens/>
        <w:spacing w:after="0" w:line="288" w:lineRule="auto"/>
        <w:jc w:val="both"/>
        <w:rPr>
          <w:szCs w:val="24"/>
        </w:rPr>
      </w:pPr>
      <w:r w:rsidRPr="00B43B65">
        <w:t>Politične smernice predsednice Ursule von der Leyen vsebujejo zavezo Komisije, da bo predložila akcijski načrt za celovito izvajanje evropskega stebra socialnih pravic. V sporočilu Komisije z dne 14. januarja 2020 z naslovom Močna socialna Evropa za pravičen prehod je predstavljenih več ključnih ukrepov za leti 2020 in 2021, z njim pa sta se začela široko posvetovanje in sodelovanje, da bi se prispevalo k pripravam za akcijski načrt. Potreba po socialni podpori in zaščiti je še večja med sedanjo pandemijo COVID-19, saj so bili sistemi socialne podpore držav članic pod velikim pritiskom, družbena struktura EU pa je v nevarnosti, da se bo sesula.</w:t>
      </w:r>
    </w:p>
    <w:p w:rsidR="005366D6" w:rsidRPr="00B43B65" w:rsidRDefault="005366D6" w:rsidP="00B43B65">
      <w:pPr>
        <w:suppressAutoHyphens/>
        <w:spacing w:after="0" w:line="288" w:lineRule="auto"/>
        <w:rPr>
          <w:szCs w:val="24"/>
          <w:lang w:eastAsia="en-GB"/>
        </w:rPr>
      </w:pPr>
    </w:p>
    <w:p w:rsidR="005366D6" w:rsidRPr="00B43B65" w:rsidRDefault="005366D6" w:rsidP="00B43B65">
      <w:pPr>
        <w:suppressAutoHyphens/>
        <w:autoSpaceDE w:val="0"/>
        <w:autoSpaceDN w:val="0"/>
        <w:adjustRightInd w:val="0"/>
        <w:spacing w:after="0" w:line="288" w:lineRule="auto"/>
        <w:jc w:val="both"/>
        <w:rPr>
          <w:szCs w:val="24"/>
        </w:rPr>
      </w:pPr>
      <w:r w:rsidRPr="00B43B65">
        <w:t xml:space="preserve">Cilj Komisije je predstaviti akcijski načrt v začetku leta 2021 in si prizadevati za njegovo potrditev na najvišji politični ravni na socialnem vrhu, ki ga bo portugalsko predsedstvo Svetu organiziralo maja 2021. </w:t>
      </w:r>
    </w:p>
    <w:p w:rsidR="00CE0C02" w:rsidRPr="00B43B65" w:rsidRDefault="00CE0C02" w:rsidP="00B43B65">
      <w:pPr>
        <w:suppressAutoHyphens/>
        <w:spacing w:after="0" w:line="288" w:lineRule="auto"/>
        <w:rPr>
          <w:bCs/>
          <w:u w:val="single"/>
        </w:rPr>
      </w:pPr>
    </w:p>
    <w:p w:rsidR="00EA2779" w:rsidRPr="00B43B65" w:rsidRDefault="00B40809" w:rsidP="00B43B65">
      <w:pPr>
        <w:suppressAutoHyphens/>
        <w:spacing w:after="0" w:line="288" w:lineRule="auto"/>
        <w:jc w:val="both"/>
        <w:rPr>
          <w:bCs/>
        </w:rPr>
      </w:pPr>
      <w:r w:rsidRPr="00B43B65">
        <w:t xml:space="preserve">Jasno je, da imajo lokalne in regionalne oblasti pomembno vlogo pri oblikovanju in izvajanju politik zaposlovanja in socialnih politik v EU. Kriza zaradi COVID-19 je različne regije prizadela različno, odvisno od njihove gospodarske strukture in izpostavljenosti zdravstvenim tveganjem. Lokalne in regionalne </w:t>
      </w:r>
      <w:r w:rsidRPr="00B43B65">
        <w:lastRenderedPageBreak/>
        <w:t>oblasti lahko prispevajo k razvoju in izvajanju ukrepov za obvladovanje krize, ki bodo obravnavali tako izzive socialne in teritorialne kohezije, ki so bili prisotni pred krizo zaradi COVID-19, kot tudi tiste, ki so se pojavili po krizi. Zato je treba vključiti lokalne in regionalne oblasti, zlasti z:</w:t>
      </w:r>
    </w:p>
    <w:p w:rsidR="00CB78E1" w:rsidRPr="00B43B65" w:rsidRDefault="00CB78E1" w:rsidP="00B43B65">
      <w:pPr>
        <w:suppressAutoHyphens/>
        <w:spacing w:after="0" w:line="288" w:lineRule="auto"/>
        <w:rPr>
          <w:bCs/>
          <w:u w:val="single"/>
        </w:rPr>
      </w:pPr>
    </w:p>
    <w:p w:rsidR="00CB78E1" w:rsidRPr="00B43B65" w:rsidRDefault="00F771E0" w:rsidP="00B43B65">
      <w:pPr>
        <w:pStyle w:val="ListParagraph"/>
        <w:numPr>
          <w:ilvl w:val="0"/>
          <w:numId w:val="19"/>
        </w:numPr>
        <w:suppressAutoHyphens/>
        <w:spacing w:after="0" w:line="288" w:lineRule="auto"/>
        <w:ind w:left="360"/>
        <w:jc w:val="both"/>
      </w:pPr>
      <w:r w:rsidRPr="00B43B65">
        <w:rPr>
          <w:rFonts w:ascii="Times New Roman" w:hAnsi="Times New Roman"/>
        </w:rPr>
        <w:t>mnenjem OR o močni socialni Evropi za pravičen prehod (poročevalka Anne Karjalainen (FI/PES), sprejeto na plenarnem zasedanju oktobra 2020), ki je splošni odgovor OR na sporočilo Komisije;</w:t>
      </w:r>
    </w:p>
    <w:p w:rsidR="00421A56" w:rsidRPr="00B43B65" w:rsidRDefault="00421A56" w:rsidP="00B43B65">
      <w:pPr>
        <w:pStyle w:val="ListParagraph"/>
        <w:ind w:left="0"/>
        <w:rPr>
          <w:bCs/>
        </w:rPr>
      </w:pPr>
    </w:p>
    <w:p w:rsidR="00176CAE" w:rsidRPr="00B43B65" w:rsidRDefault="00176CAE" w:rsidP="00B43B65">
      <w:pPr>
        <w:pStyle w:val="ListParagraph"/>
        <w:numPr>
          <w:ilvl w:val="0"/>
          <w:numId w:val="19"/>
        </w:numPr>
        <w:suppressAutoHyphens/>
        <w:spacing w:after="0" w:line="288" w:lineRule="auto"/>
        <w:ind w:left="360"/>
        <w:jc w:val="both"/>
      </w:pPr>
      <w:r w:rsidRPr="00B43B65">
        <w:rPr>
          <w:rFonts w:ascii="Times New Roman" w:hAnsi="Times New Roman"/>
        </w:rPr>
        <w:t>mnenjem OR o prihodnjem načrtu za negovalce in storitve oskrbe – lokalne in regionalne priložnosti v okviru evropskega izziva (poročevalec še ni določen);</w:t>
      </w:r>
    </w:p>
    <w:p w:rsidR="00E136C4" w:rsidRPr="00B43B65" w:rsidRDefault="00E136C4" w:rsidP="00B43B65">
      <w:pPr>
        <w:pStyle w:val="ListParagraph"/>
        <w:suppressAutoHyphens/>
        <w:spacing w:after="0" w:line="288" w:lineRule="auto"/>
        <w:ind w:left="0"/>
        <w:jc w:val="both"/>
      </w:pPr>
    </w:p>
    <w:p w:rsidR="00F771E0" w:rsidRPr="00B43B65" w:rsidRDefault="00421A56" w:rsidP="00B43B65">
      <w:pPr>
        <w:pStyle w:val="ListParagraph"/>
        <w:numPr>
          <w:ilvl w:val="0"/>
          <w:numId w:val="19"/>
        </w:numPr>
        <w:suppressAutoHyphens/>
        <w:spacing w:after="0" w:line="288" w:lineRule="auto"/>
        <w:ind w:left="360"/>
        <w:jc w:val="both"/>
      </w:pPr>
      <w:r w:rsidRPr="00B43B65">
        <w:rPr>
          <w:rFonts w:ascii="Times New Roman" w:hAnsi="Times New Roman"/>
        </w:rPr>
        <w:t>dogodkom v okviru evropskega tedna regij in mest 2020 z naslovom Socialna varnost za platformne delavce – izzivi in priložnosti z udeležbo GD EMPL;</w:t>
      </w:r>
    </w:p>
    <w:p w:rsidR="00267B85" w:rsidRPr="00B43B65" w:rsidRDefault="00267B85" w:rsidP="00B43B65">
      <w:pPr>
        <w:pStyle w:val="ListParagraph"/>
        <w:suppressAutoHyphens/>
        <w:spacing w:after="0" w:line="288" w:lineRule="auto"/>
        <w:ind w:left="0"/>
        <w:jc w:val="both"/>
      </w:pPr>
    </w:p>
    <w:p w:rsidR="00512960" w:rsidRPr="00B43B65" w:rsidRDefault="00F5129F" w:rsidP="00B43B65">
      <w:pPr>
        <w:pStyle w:val="ListParagraph"/>
        <w:numPr>
          <w:ilvl w:val="0"/>
          <w:numId w:val="19"/>
        </w:numPr>
        <w:suppressAutoHyphens/>
        <w:spacing w:after="0" w:line="288" w:lineRule="auto"/>
        <w:ind w:left="360"/>
        <w:jc w:val="both"/>
        <w:rPr>
          <w:b/>
          <w:u w:val="single"/>
        </w:rPr>
      </w:pPr>
      <w:r w:rsidRPr="00B43B65">
        <w:rPr>
          <w:rFonts w:ascii="Times New Roman" w:hAnsi="Times New Roman"/>
        </w:rPr>
        <w:t>Komisija in OR bosta skupaj s portugalskim predsedstvom Svetu preučila možnosti za udeležbo OR na socialnem vrhu, da bi se upoštevala teritorialna razsežnost izvajanja evropskega stebra socialnih pravic.</w:t>
      </w:r>
    </w:p>
    <w:p w:rsidR="00151730" w:rsidRPr="00B43B65" w:rsidRDefault="00151730" w:rsidP="00B43B65">
      <w:pPr>
        <w:suppressAutoHyphens/>
        <w:spacing w:after="0" w:line="288" w:lineRule="auto"/>
      </w:pPr>
    </w:p>
    <w:p w:rsidR="00EA2779" w:rsidRPr="00B43B65" w:rsidRDefault="00EA2779" w:rsidP="00B43B65">
      <w:pPr>
        <w:pStyle w:val="Heading2"/>
        <w:suppressAutoHyphens/>
        <w:spacing w:after="0" w:line="288" w:lineRule="auto"/>
        <w:ind w:left="426" w:hanging="426"/>
        <w:jc w:val="both"/>
      </w:pPr>
      <w:r w:rsidRPr="00B43B65">
        <w:t>2.2.</w:t>
      </w:r>
      <w:r w:rsidRPr="00B43B65">
        <w:rPr>
          <w:rFonts w:ascii="Times New Roman" w:hAnsi="Times New Roman"/>
          <w:b/>
          <w:sz w:val="24"/>
          <w:szCs w:val="24"/>
        </w:rPr>
        <w:tab/>
      </w:r>
      <w:r w:rsidRPr="00B43B65">
        <w:rPr>
          <w:rFonts w:ascii="Times New Roman" w:hAnsi="Times New Roman"/>
          <w:b/>
          <w:sz w:val="24"/>
          <w:szCs w:val="32"/>
        </w:rPr>
        <w:t>Priprava Evropskega socialnega sklada plus (ESS+) in pobude REACT-EU za zagotovitev ustreznega financiranja ukrepov za zaposlovanje mladih</w:t>
      </w:r>
    </w:p>
    <w:p w:rsidR="00527019" w:rsidRPr="00B43B65" w:rsidRDefault="00527019" w:rsidP="00B43B65">
      <w:pPr>
        <w:suppressAutoHyphens/>
        <w:spacing w:after="0" w:line="288" w:lineRule="auto"/>
      </w:pPr>
    </w:p>
    <w:p w:rsidR="00527019" w:rsidRPr="00B43B65" w:rsidRDefault="00527019" w:rsidP="00B43B65">
      <w:pPr>
        <w:suppressAutoHyphens/>
        <w:spacing w:after="0" w:line="288" w:lineRule="auto"/>
        <w:jc w:val="both"/>
        <w:rPr>
          <w:bCs/>
        </w:rPr>
      </w:pPr>
      <w:r w:rsidRPr="00B43B65">
        <w:t>Številne lokalne in regionalne oblasti so trenutno močno vpete v pripravo prihodnjih programov ESS+ in razvoj projektov, ki bodo prejeli sredstva ESS+. Komisija je z ESS+ predlagala, da se financiranje ukrepov za zaposlovanje mladih poveča v državah članicah, v katerih je stopnja mladih, ki niso zaposleni, se ne izobražujejo ali usposabljajo, višja od povprečja v EU</w:t>
      </w:r>
      <w:r w:rsidR="006E25E8" w:rsidRPr="00B43B65">
        <w:rPr>
          <w:rStyle w:val="FootnoteReference"/>
          <w:bCs/>
          <w:sz w:val="24"/>
          <w:szCs w:val="24"/>
        </w:rPr>
        <w:footnoteReference w:id="4"/>
      </w:r>
      <w:r w:rsidRPr="00B43B65">
        <w:t>. Poleg tega se lahko z novo pobudo REACT-EU podprejo ukrepi za zaposlovanje mladih. Glede na sedanjo pandemijo in verjeten vpliv, ki bi ga lahko imela na zaposlovanje mladih, je bistveno, da se v celoti izkoristijo prednosti te dodatne podpore.</w:t>
      </w:r>
    </w:p>
    <w:p w:rsidR="00CB78E1" w:rsidRPr="00B43B65" w:rsidRDefault="00CB78E1" w:rsidP="00B43B65">
      <w:pPr>
        <w:suppressAutoHyphens/>
        <w:spacing w:after="0" w:line="288" w:lineRule="auto"/>
        <w:rPr>
          <w:bCs/>
          <w:u w:val="single"/>
        </w:rPr>
      </w:pPr>
    </w:p>
    <w:p w:rsidR="00AE28C2" w:rsidRPr="00B43B65" w:rsidRDefault="00F52BD7" w:rsidP="00B43B65">
      <w:pPr>
        <w:suppressAutoHyphens/>
        <w:spacing w:after="0" w:line="288" w:lineRule="auto"/>
        <w:jc w:val="both"/>
        <w:rPr>
          <w:bCs/>
        </w:rPr>
      </w:pPr>
      <w:r w:rsidRPr="00B43B65">
        <w:t>OR bi lahko olajšal izmenjavo informacij in primere dobre prakse v zvezi s financiranjem iz pobude REACT-EU in sklada ESS+ v podporo ukrepom za zaposlovanje mladih. Ta finančna pomoč bo prispevala k splošnemu cilju EU, da se temu cilju nameni vsaj 22 milijard EUR</w:t>
      </w:r>
      <w:r w:rsidR="008911F1" w:rsidRPr="00B43B65">
        <w:rPr>
          <w:rStyle w:val="FootnoteReference"/>
          <w:bCs/>
          <w:sz w:val="24"/>
          <w:szCs w:val="24"/>
        </w:rPr>
        <w:footnoteReference w:id="5"/>
      </w:r>
      <w:r w:rsidRPr="00B43B65">
        <w:t>, in bo element financiranja okrepljenega jamstva za mlade</w:t>
      </w:r>
      <w:r w:rsidR="008911F1" w:rsidRPr="00B43B65">
        <w:rPr>
          <w:rStyle w:val="FootnoteReference"/>
          <w:bCs/>
          <w:sz w:val="24"/>
          <w:szCs w:val="24"/>
        </w:rPr>
        <w:footnoteReference w:id="6"/>
      </w:r>
      <w:r w:rsidR="00B43B65" w:rsidRPr="00B43B65">
        <w:t>.</w:t>
      </w:r>
    </w:p>
    <w:p w:rsidR="00AE28C2" w:rsidRPr="00B43B65" w:rsidRDefault="00AE28C2" w:rsidP="00B43B65">
      <w:pPr>
        <w:suppressAutoHyphens/>
        <w:spacing w:after="0" w:line="288" w:lineRule="auto"/>
        <w:rPr>
          <w:bCs/>
          <w:u w:val="single"/>
        </w:rPr>
      </w:pPr>
    </w:p>
    <w:p w:rsidR="006106B7" w:rsidRPr="00B43B65" w:rsidRDefault="002867F1" w:rsidP="00B43B65">
      <w:pPr>
        <w:suppressAutoHyphens/>
        <w:spacing w:after="0" w:line="288" w:lineRule="auto"/>
        <w:jc w:val="both"/>
        <w:rPr>
          <w:bCs/>
        </w:rPr>
      </w:pPr>
      <w:r w:rsidRPr="00B43B65">
        <w:lastRenderedPageBreak/>
        <w:t>OR bi lahko v duhu načela partnerstva spodbujal dialog med lokalnimi in regionalnimi oblastmi pri razvoju konceptov za boj proti brezposelnosti mladih v tesnem sodelovanju s socialnimi partnerji ter postal platforma za izmenjavo zamisli in</w:t>
      </w:r>
      <w:r w:rsidR="00B43B65" w:rsidRPr="00B43B65">
        <w:t xml:space="preserve"> politik med regijami in mesti.</w:t>
      </w:r>
    </w:p>
    <w:p w:rsidR="006106B7" w:rsidRPr="00B43B65" w:rsidRDefault="006106B7" w:rsidP="00B43B65">
      <w:pPr>
        <w:suppressAutoHyphens/>
        <w:spacing w:after="0" w:line="288" w:lineRule="auto"/>
        <w:rPr>
          <w:bCs/>
        </w:rPr>
      </w:pPr>
    </w:p>
    <w:p w:rsidR="00527019" w:rsidRPr="00B43B65" w:rsidRDefault="006106B7" w:rsidP="00B43B65">
      <w:pPr>
        <w:suppressAutoHyphens/>
        <w:spacing w:after="0" w:line="288" w:lineRule="auto"/>
        <w:jc w:val="both"/>
      </w:pPr>
      <w:r w:rsidRPr="00B43B65">
        <w:t>OR lahko tako zagotovi smiselne nadaljnje ukrepe v zvezi s sporočilom Komisije z naslovom Podpiranje zaposlovanja mladih: most do delovnih mest za naslednjo generacijo</w:t>
      </w:r>
      <w:r w:rsidR="00150CCB" w:rsidRPr="00B43B65">
        <w:rPr>
          <w:rStyle w:val="FootnoteReference"/>
          <w:sz w:val="24"/>
          <w:szCs w:val="24"/>
        </w:rPr>
        <w:footnoteReference w:id="7"/>
      </w:r>
      <w:r w:rsidRPr="00B43B65">
        <w:t xml:space="preserve">, lahko pa bi se izvedla tudi nadaljnja srečanja med GD EMPL in OR. </w:t>
      </w:r>
    </w:p>
    <w:p w:rsidR="00F165DD" w:rsidRPr="00B43B65" w:rsidRDefault="00F165DD" w:rsidP="00B43B65">
      <w:pPr>
        <w:suppressAutoHyphens/>
        <w:spacing w:after="0" w:line="288" w:lineRule="auto"/>
        <w:rPr>
          <w:bCs/>
        </w:rPr>
      </w:pPr>
    </w:p>
    <w:p w:rsidR="00CB78E1" w:rsidRPr="00B43B65" w:rsidRDefault="00B43B65" w:rsidP="00B43B65">
      <w:pPr>
        <w:pStyle w:val="Heading2"/>
        <w:suppressAutoHyphens/>
        <w:spacing w:after="0" w:line="288" w:lineRule="auto"/>
        <w:ind w:left="567" w:hanging="567"/>
        <w:jc w:val="both"/>
        <w:rPr>
          <w:rFonts w:eastAsiaTheme="majorEastAsia" w:cstheme="minorHAnsi"/>
          <w:sz w:val="24"/>
          <w:szCs w:val="32"/>
        </w:rPr>
      </w:pPr>
      <w:r w:rsidRPr="00B43B65">
        <w:t>2.3</w:t>
      </w:r>
      <w:r w:rsidRPr="00B43B65">
        <w:rPr>
          <w:rFonts w:ascii="Times New Roman" w:hAnsi="Times New Roman"/>
          <w:b/>
          <w:sz w:val="24"/>
          <w:szCs w:val="24"/>
        </w:rPr>
        <w:t>.</w:t>
      </w:r>
      <w:r w:rsidR="00CB78E1" w:rsidRPr="00B43B65">
        <w:rPr>
          <w:rFonts w:ascii="Times New Roman" w:hAnsi="Times New Roman"/>
          <w:b/>
          <w:sz w:val="24"/>
          <w:szCs w:val="24"/>
        </w:rPr>
        <w:tab/>
      </w:r>
      <w:r w:rsidRPr="00B43B65">
        <w:rPr>
          <w:rFonts w:ascii="Times New Roman" w:hAnsi="Times New Roman"/>
          <w:b/>
          <w:sz w:val="24"/>
          <w:szCs w:val="32"/>
        </w:rPr>
        <w:t>Program za znanja in spretnosti</w:t>
      </w:r>
    </w:p>
    <w:p w:rsidR="006106B7" w:rsidRPr="00B43B65" w:rsidRDefault="006106B7" w:rsidP="00B43B65">
      <w:pPr>
        <w:suppressAutoHyphens/>
        <w:spacing w:after="0" w:line="288" w:lineRule="auto"/>
        <w:rPr>
          <w:rFonts w:eastAsiaTheme="majorEastAsia"/>
        </w:rPr>
      </w:pPr>
    </w:p>
    <w:p w:rsidR="006106B7" w:rsidRPr="00B43B65" w:rsidRDefault="00EE2DE9" w:rsidP="00B43B65">
      <w:pPr>
        <w:suppressAutoHyphens/>
        <w:spacing w:after="0" w:line="288" w:lineRule="auto"/>
        <w:jc w:val="both"/>
      </w:pPr>
      <w:r w:rsidRPr="00B43B65">
        <w:t>Vpliv pandemije na naš način dela ter prehod na digitalno in zeleno gospodarstvo močno spreminjata paradigmo na področju znanj in spretnosti v EU. Zato je bistveno spodbujati in povezati lokalni vidik znanj in spretnosti, kot je navedeno v nedavnem sporočilu Komisije z naslovom Program znanj in spretnosti za Evropo za trajnostno konkurenčnost, socialno pravičnost in odpornost</w:t>
      </w:r>
      <w:r w:rsidR="002867F1" w:rsidRPr="00B43B65">
        <w:rPr>
          <w:rStyle w:val="FootnoteReference"/>
          <w:bCs/>
          <w:sz w:val="24"/>
          <w:szCs w:val="24"/>
        </w:rPr>
        <w:footnoteReference w:id="8"/>
      </w:r>
      <w:r w:rsidRPr="00B43B65">
        <w:t>. Z delom na lokalni ravni se lahko v čim večjem obsegu poveča vključenost lokalnih partnerjev, kot so MSP, ob hkratnem boljšem razumevanju potreb lokalnega trga dela in preučevanjem sinergij z drugimi lokalnimi in regionalnimi strategijami. Poleg tega bi lokalna in regionalna perspektiva lahko pripomogli k oblikovanju kvalitativnih predvidevanj in kvantitativnih napovedi o znanjih in spretnostih, ki bi se nato lahko razvili v model ali metodo predvidevanja znanj in spretnosti, ki bi se lahko uporabil za prihodnje načrtovanje ali oblikovanje politike.</w:t>
      </w:r>
    </w:p>
    <w:p w:rsidR="006106B7" w:rsidRPr="00B43B65" w:rsidRDefault="006106B7" w:rsidP="00B43B65">
      <w:pPr>
        <w:suppressAutoHyphens/>
        <w:spacing w:after="0" w:line="288" w:lineRule="auto"/>
        <w:rPr>
          <w:bCs/>
        </w:rPr>
      </w:pPr>
    </w:p>
    <w:p w:rsidR="00421A56" w:rsidRPr="00B43B65" w:rsidRDefault="00150CCB" w:rsidP="00B43B65">
      <w:pPr>
        <w:suppressAutoHyphens/>
        <w:spacing w:after="0" w:line="288" w:lineRule="auto"/>
        <w:rPr>
          <w:bCs/>
        </w:rPr>
      </w:pPr>
      <w:r w:rsidRPr="00B43B65">
        <w:t>Nadaljnje sodelovanje se lahko doseže z naslednjima ukrepoma:</w:t>
      </w:r>
    </w:p>
    <w:p w:rsidR="000A7400" w:rsidRPr="00B43B65" w:rsidRDefault="000A7400" w:rsidP="00B43B65">
      <w:pPr>
        <w:pStyle w:val="ListParagraph"/>
        <w:suppressAutoHyphens/>
        <w:spacing w:after="0" w:line="288" w:lineRule="auto"/>
        <w:ind w:left="0"/>
        <w:jc w:val="both"/>
        <w:rPr>
          <w:rStyle w:val="normaltextrun"/>
        </w:rPr>
      </w:pPr>
    </w:p>
    <w:p w:rsidR="000A7400" w:rsidRPr="00B43B65" w:rsidRDefault="00151730" w:rsidP="00B43B65">
      <w:pPr>
        <w:pStyle w:val="ListParagraph"/>
        <w:numPr>
          <w:ilvl w:val="0"/>
          <w:numId w:val="32"/>
        </w:numPr>
        <w:suppressAutoHyphens/>
        <w:spacing w:after="0" w:line="288" w:lineRule="auto"/>
        <w:jc w:val="both"/>
        <w:rPr>
          <w:rStyle w:val="normaltextrun"/>
        </w:rPr>
      </w:pPr>
      <w:r w:rsidRPr="00B43B65">
        <w:rPr>
          <w:rStyle w:val="normaltextrun"/>
          <w:rFonts w:ascii="Times New Roman" w:hAnsi="Times New Roman"/>
        </w:rPr>
        <w:t>skupno</w:t>
      </w:r>
      <w:r w:rsidRPr="00B43B65">
        <w:rPr>
          <w:rStyle w:val="normaltextrun"/>
        </w:rPr>
        <w:t xml:space="preserve"> spodbujanje pakta za znanja in spretnosti kot načina, kako regije vzpostavljajo partnerstva z industrijo in ponudniki usposabljanja za izpopolnjevanje in prekvalifikacijo lokalnega prebivalstva;</w:t>
      </w:r>
    </w:p>
    <w:p w:rsidR="000A7400" w:rsidRPr="00B43B65" w:rsidRDefault="000A7400" w:rsidP="00B43B65">
      <w:pPr>
        <w:pStyle w:val="ListParagraph"/>
        <w:suppressAutoHyphens/>
        <w:spacing w:after="0" w:line="288" w:lineRule="auto"/>
        <w:ind w:left="0"/>
        <w:jc w:val="both"/>
        <w:rPr>
          <w:rStyle w:val="normaltextrun"/>
        </w:rPr>
      </w:pPr>
    </w:p>
    <w:p w:rsidR="00421A56" w:rsidRPr="00B43B65" w:rsidRDefault="000A7400" w:rsidP="00B43B65">
      <w:pPr>
        <w:pStyle w:val="ListParagraph"/>
        <w:numPr>
          <w:ilvl w:val="0"/>
          <w:numId w:val="32"/>
        </w:numPr>
        <w:suppressAutoHyphens/>
        <w:spacing w:after="0" w:line="288" w:lineRule="auto"/>
        <w:jc w:val="both"/>
        <w:rPr>
          <w:rStyle w:val="normaltextrun"/>
        </w:rPr>
      </w:pPr>
      <w:r w:rsidRPr="00B43B65">
        <w:rPr>
          <w:rStyle w:val="normaltextrun"/>
        </w:rPr>
        <w:t>konferenca na visoki ravni o vajeništvih, ki je bila organizirana skupaj z GD EMPL, z naslovom Vloga regij in mest pri zagotavljanju visokokakovostnih vajeništev</w:t>
      </w:r>
      <w:r w:rsidRPr="00B43B65">
        <w:rPr>
          <w:rStyle w:val="normaltextrun"/>
          <w:rFonts w:ascii="Times New Roman" w:hAnsi="Times New Roman"/>
        </w:rPr>
        <w:t>,</w:t>
      </w:r>
      <w:r w:rsidRPr="00B43B65">
        <w:rPr>
          <w:rStyle w:val="normaltextrun"/>
        </w:rPr>
        <w:t xml:space="preserve"> načrtovana za pomlad leta 2021 zaradi COVID-19</w:t>
      </w:r>
      <w:r w:rsidRPr="00B43B65">
        <w:rPr>
          <w:rStyle w:val="normaltextrun"/>
          <w:rFonts w:ascii="Times New Roman" w:hAnsi="Times New Roman"/>
        </w:rPr>
        <w:t>,</w:t>
      </w:r>
      <w:r w:rsidRPr="00B43B65">
        <w:rPr>
          <w:rStyle w:val="normaltextrun"/>
        </w:rPr>
        <w:t xml:space="preserve"> s časovnim načrtom za dodatne spletne dogodke pred glavno konferenco:</w:t>
      </w:r>
    </w:p>
    <w:p w:rsidR="000A7400" w:rsidRPr="00B43B65" w:rsidRDefault="000A7400" w:rsidP="00B43B65">
      <w:pPr>
        <w:suppressAutoHyphens/>
        <w:spacing w:after="0" w:line="288" w:lineRule="auto"/>
        <w:rPr>
          <w:rStyle w:val="normaltextrun"/>
        </w:rPr>
      </w:pPr>
    </w:p>
    <w:tbl>
      <w:tblPr>
        <w:tblW w:w="0" w:type="auto"/>
        <w:tblInd w:w="416" w:type="dxa"/>
        <w:tblCellMar>
          <w:left w:w="0" w:type="dxa"/>
          <w:right w:w="0" w:type="dxa"/>
        </w:tblCellMar>
        <w:tblLook w:val="04A0" w:firstRow="1" w:lastRow="0" w:firstColumn="1" w:lastColumn="0" w:noHBand="0" w:noVBand="1"/>
      </w:tblPr>
      <w:tblGrid>
        <w:gridCol w:w="2703"/>
        <w:gridCol w:w="3817"/>
        <w:gridCol w:w="2069"/>
      </w:tblGrid>
      <w:tr w:rsidR="009F651C" w:rsidRPr="00B43B65">
        <w:tc>
          <w:tcPr>
            <w:tcW w:w="2703" w:type="dxa"/>
            <w:tcBorders>
              <w:top w:val="single" w:sz="8" w:space="0" w:color="auto"/>
              <w:left w:val="single" w:sz="8" w:space="0" w:color="auto"/>
              <w:bottom w:val="single" w:sz="8" w:space="0" w:color="auto"/>
              <w:right w:val="single" w:sz="8" w:space="0" w:color="auto"/>
            </w:tcBorders>
            <w:shd w:val="clear" w:color="auto" w:fill="5B9BD5"/>
            <w:tcMar>
              <w:top w:w="0" w:type="dxa"/>
              <w:left w:w="108" w:type="dxa"/>
              <w:bottom w:w="0" w:type="dxa"/>
              <w:right w:w="108" w:type="dxa"/>
            </w:tcMar>
            <w:hideMark/>
          </w:tcPr>
          <w:p w:rsidR="000A7400" w:rsidRPr="00B43B65" w:rsidRDefault="000A7400" w:rsidP="00B43B65">
            <w:pPr>
              <w:suppressAutoHyphens/>
              <w:spacing w:after="0" w:line="288" w:lineRule="auto"/>
              <w:rPr>
                <w:b/>
                <w:bCs/>
                <w:color w:val="FFFFFF"/>
              </w:rPr>
            </w:pPr>
            <w:r w:rsidRPr="00B43B65">
              <w:rPr>
                <w:b/>
                <w:bCs/>
                <w:color w:val="FFFFFF"/>
              </w:rPr>
              <w:t>Datum</w:t>
            </w:r>
          </w:p>
        </w:tc>
        <w:tc>
          <w:tcPr>
            <w:tcW w:w="3817"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B43B65" w:rsidRDefault="000A7400" w:rsidP="00B43B65">
            <w:pPr>
              <w:suppressAutoHyphens/>
              <w:spacing w:after="0" w:line="288" w:lineRule="auto"/>
              <w:rPr>
                <w:rFonts w:ascii="Calibri" w:hAnsi="Calibri" w:cs="Calibri"/>
                <w:b/>
                <w:bCs/>
                <w:color w:val="FFFFFF"/>
              </w:rPr>
            </w:pPr>
            <w:r w:rsidRPr="00B43B65">
              <w:rPr>
                <w:b/>
                <w:bCs/>
                <w:color w:val="FFFFFF"/>
              </w:rPr>
              <w:t>Spletni seminarji/konference</w:t>
            </w:r>
          </w:p>
        </w:tc>
        <w:tc>
          <w:tcPr>
            <w:tcW w:w="2069"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B43B65" w:rsidRDefault="000A7400" w:rsidP="00B43B65">
            <w:pPr>
              <w:suppressAutoHyphens/>
              <w:spacing w:after="0" w:line="288" w:lineRule="auto"/>
              <w:rPr>
                <w:b/>
                <w:bCs/>
                <w:color w:val="FFFFFF"/>
              </w:rPr>
            </w:pPr>
            <w:r w:rsidRPr="00B43B65">
              <w:rPr>
                <w:b/>
                <w:bCs/>
                <w:color w:val="FFFFFF"/>
              </w:rPr>
              <w:t>Tematika</w:t>
            </w:r>
          </w:p>
        </w:tc>
      </w:tr>
      <w:tr w:rsidR="009F651C" w:rsidRPr="00B43B65">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B43B65" w:rsidRDefault="000A7400" w:rsidP="00B43B65">
            <w:pPr>
              <w:suppressAutoHyphens/>
              <w:spacing w:after="0" w:line="288" w:lineRule="auto"/>
            </w:pPr>
            <w:r w:rsidRPr="00B43B65">
              <w:t>Torek, 29. septembra 2020</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B43B65" w:rsidRDefault="000A7400" w:rsidP="00B43B65">
            <w:pPr>
              <w:suppressAutoHyphens/>
              <w:spacing w:after="0" w:line="288" w:lineRule="auto"/>
            </w:pPr>
            <w:r w:rsidRPr="00B43B65">
              <w:t xml:space="preserve">1. spletni seminar: </w:t>
            </w:r>
            <w:r w:rsidRPr="00B43B65">
              <w:rPr>
                <w:i/>
                <w:iCs/>
              </w:rPr>
              <w:t>Vpliv COVID-19 na vajeništvo. Vloga regij in mest.</w:t>
            </w:r>
            <w:r w:rsidRPr="00B43B65">
              <w:t xml:space="preserve"> </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B43B65" w:rsidRDefault="000A7400" w:rsidP="00B43B65">
            <w:pPr>
              <w:suppressAutoHyphens/>
              <w:spacing w:after="0" w:line="288" w:lineRule="auto"/>
            </w:pPr>
            <w:r w:rsidRPr="00B43B65">
              <w:t>poudarek na odzivu na COVID-19</w:t>
            </w:r>
          </w:p>
        </w:tc>
      </w:tr>
      <w:tr w:rsidR="009F651C" w:rsidRPr="00B43B65">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B43B65" w:rsidRDefault="000A7400" w:rsidP="00B43B65">
            <w:pPr>
              <w:suppressAutoHyphens/>
              <w:spacing w:after="0" w:line="288" w:lineRule="auto"/>
            </w:pPr>
            <w:r w:rsidRPr="00B43B65">
              <w:t>Januar/februar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B43B65" w:rsidRDefault="000A7400" w:rsidP="00B43B65">
            <w:pPr>
              <w:suppressAutoHyphens/>
              <w:spacing w:after="0" w:line="288" w:lineRule="auto"/>
            </w:pPr>
            <w:r w:rsidRPr="00B43B65">
              <w:t xml:space="preserve">2. spletni seminar: </w:t>
            </w:r>
            <w:r w:rsidRPr="00B43B65">
              <w:rPr>
                <w:i/>
                <w:iCs/>
              </w:rPr>
              <w:t>Dvojni prehod: vloga mest pri zagotavljanju visokokakovostnega vajeništva</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B43B65" w:rsidRDefault="000A7400" w:rsidP="00B43B65">
            <w:pPr>
              <w:suppressAutoHyphens/>
              <w:spacing w:after="0" w:line="288" w:lineRule="auto"/>
            </w:pPr>
            <w:r w:rsidRPr="00B43B65">
              <w:t>poudarek na dvojnem, zelenem in digitalnem prehodu</w:t>
            </w:r>
          </w:p>
        </w:tc>
      </w:tr>
      <w:tr w:rsidR="009F651C" w:rsidRPr="00B43B65">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B43B65" w:rsidRDefault="000A7400" w:rsidP="00B43B65">
            <w:pPr>
              <w:suppressAutoHyphens/>
              <w:spacing w:after="0" w:line="288" w:lineRule="auto"/>
            </w:pPr>
            <w:r w:rsidRPr="00B43B65">
              <w:lastRenderedPageBreak/>
              <w:t>Marec/april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B43B65" w:rsidRDefault="000A7400" w:rsidP="00B43B65">
            <w:pPr>
              <w:suppressAutoHyphens/>
              <w:spacing w:after="0" w:line="288" w:lineRule="auto"/>
            </w:pPr>
            <w:r w:rsidRPr="00B43B65">
              <w:t xml:space="preserve">3. spletni seminar: </w:t>
            </w:r>
            <w:r w:rsidRPr="00B43B65">
              <w:rPr>
                <w:i/>
                <w:iCs/>
              </w:rPr>
              <w:t>Dvojni prehod: vloga regij pri zagotavljanju visokokakovostnega vajeništva</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B43B65" w:rsidRDefault="000A7400" w:rsidP="00B43B65">
            <w:pPr>
              <w:suppressAutoHyphens/>
              <w:spacing w:after="0" w:line="288" w:lineRule="auto"/>
            </w:pPr>
            <w:r w:rsidRPr="00B43B65">
              <w:t xml:space="preserve">poudarek na dvojnem, zelenem in digitalnem prehodu </w:t>
            </w:r>
          </w:p>
        </w:tc>
      </w:tr>
      <w:tr w:rsidR="009F651C" w:rsidRPr="00B43B65">
        <w:tc>
          <w:tcPr>
            <w:tcW w:w="2703"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0A7400" w:rsidRPr="00B43B65" w:rsidRDefault="000A7400" w:rsidP="00B43B65">
            <w:pPr>
              <w:suppressAutoHyphens/>
              <w:spacing w:after="0" w:line="288" w:lineRule="auto"/>
            </w:pPr>
            <w:r w:rsidRPr="00B43B65">
              <w:t>3. in 4. junij 2021 (še ni potrjeno)</w:t>
            </w:r>
          </w:p>
        </w:tc>
        <w:tc>
          <w:tcPr>
            <w:tcW w:w="3817"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B43B65" w:rsidRDefault="000A7400" w:rsidP="00B43B65">
            <w:pPr>
              <w:suppressAutoHyphens/>
              <w:spacing w:after="0" w:line="288" w:lineRule="auto"/>
            </w:pPr>
            <w:r w:rsidRPr="00B43B65">
              <w:t xml:space="preserve">glavna konferenca </w:t>
            </w:r>
          </w:p>
        </w:tc>
        <w:tc>
          <w:tcPr>
            <w:tcW w:w="206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B43B65" w:rsidRDefault="000A7400" w:rsidP="00B43B65">
            <w:pPr>
              <w:suppressAutoHyphens/>
              <w:spacing w:after="0" w:line="288" w:lineRule="auto"/>
            </w:pPr>
            <w:r w:rsidRPr="00B43B65">
              <w:t>še ni potrjeno</w:t>
            </w:r>
          </w:p>
        </w:tc>
      </w:tr>
      <w:tr w:rsidR="009F651C" w:rsidRPr="00B43B65">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B43B65" w:rsidRDefault="000A7400" w:rsidP="00B43B65">
            <w:pPr>
              <w:suppressAutoHyphens/>
              <w:spacing w:after="0" w:line="288" w:lineRule="auto"/>
            </w:pPr>
            <w:r w:rsidRPr="00B43B65">
              <w:t>Še ni potrjeno</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B43B65" w:rsidRDefault="000A7400" w:rsidP="00B43B65">
            <w:pPr>
              <w:suppressAutoHyphens/>
              <w:spacing w:after="0" w:line="288" w:lineRule="auto"/>
            </w:pPr>
            <w:r w:rsidRPr="00B43B65">
              <w:t>nadaljnja (spletna) srečanja</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B43B65" w:rsidRDefault="000A7400" w:rsidP="00B43B65">
            <w:pPr>
              <w:suppressAutoHyphens/>
              <w:spacing w:after="0" w:line="288" w:lineRule="auto"/>
            </w:pPr>
            <w:r w:rsidRPr="00B43B65">
              <w:t>še ni potrjeno</w:t>
            </w:r>
          </w:p>
        </w:tc>
      </w:tr>
    </w:tbl>
    <w:p w:rsidR="002D435E" w:rsidRPr="00B43B65" w:rsidRDefault="002D435E" w:rsidP="00B43B65">
      <w:pPr>
        <w:pStyle w:val="ListParagraph"/>
        <w:suppressAutoHyphens/>
        <w:spacing w:after="0" w:line="288" w:lineRule="auto"/>
        <w:ind w:left="0"/>
        <w:jc w:val="both"/>
        <w:rPr>
          <w:rStyle w:val="normaltextrun"/>
        </w:rPr>
      </w:pPr>
    </w:p>
    <w:p w:rsidR="002D435E" w:rsidRPr="00B43B65" w:rsidRDefault="00151730" w:rsidP="00B43B65">
      <w:pPr>
        <w:pStyle w:val="ListParagraph"/>
        <w:numPr>
          <w:ilvl w:val="0"/>
          <w:numId w:val="32"/>
        </w:numPr>
        <w:suppressAutoHyphens/>
        <w:spacing w:after="0" w:line="288" w:lineRule="auto"/>
        <w:jc w:val="both"/>
        <w:rPr>
          <w:rFonts w:ascii="Times New Roman" w:hAnsi="Times New Roman" w:cs="Times New Roman"/>
        </w:rPr>
      </w:pPr>
      <w:r w:rsidRPr="00B43B65">
        <w:rPr>
          <w:rFonts w:ascii="Times New Roman" w:hAnsi="Times New Roman"/>
        </w:rPr>
        <w:t xml:space="preserve">nadaljnje sodelovanje se bo razvijalo v okviru priprav mnenja o evropskem programu znanj in spretnosti za trajnostno konkurenčnost, socialno pravičnost in odpornost (poročevalec Csaba Borboly, RO/EPP); </w:t>
      </w:r>
    </w:p>
    <w:p w:rsidR="00F165DD" w:rsidRPr="00B43B65" w:rsidRDefault="00F165DD" w:rsidP="00B43B65">
      <w:pPr>
        <w:pStyle w:val="ListParagraph"/>
        <w:suppressAutoHyphens/>
        <w:spacing w:after="0" w:line="288" w:lineRule="auto"/>
        <w:ind w:left="0"/>
        <w:jc w:val="both"/>
      </w:pPr>
    </w:p>
    <w:p w:rsidR="00176CAE" w:rsidRPr="00B43B65" w:rsidRDefault="00151730" w:rsidP="00B43B65">
      <w:pPr>
        <w:pStyle w:val="ListParagraph"/>
        <w:numPr>
          <w:ilvl w:val="0"/>
          <w:numId w:val="32"/>
        </w:numPr>
        <w:suppressAutoHyphens/>
        <w:spacing w:after="0" w:line="288" w:lineRule="auto"/>
        <w:jc w:val="both"/>
        <w:rPr>
          <w:rFonts w:ascii="Times New Roman" w:hAnsi="Times New Roman" w:cs="Times New Roman"/>
        </w:rPr>
      </w:pPr>
      <w:r w:rsidRPr="00B43B65">
        <w:rPr>
          <w:rFonts w:ascii="Times New Roman" w:hAnsi="Times New Roman"/>
        </w:rPr>
        <w:t>sodelovanje pri evropski koaliciji za vajeništva (EAfA). OR in EAfA bi lahko nadaljevala delo v zvezi z eno od prednostnih nalog prenovljene koalicije EAfA, in sicer mobiliziranje lokalnih in regionalnih oblasti kot pobudnikov vajeništev v lokalnem poslovnem okolju. Primer je sodelovanje nove mreže mest za vajeništvo pri skupnih spletnih seminarjih koalicije EAfA in OR. Eden od glavnih ciljev mreže bo ozaveščanje o potencialu mest za podporo vajeništvu. Na koncu bodo lahko mesta prek mreže zagotavljala medsebojno učenje, sodelovanje, razvoj orodij, deljenje dobre prakse ter zagotavljala in prejemala tehnično in politično pomoč.   </w:t>
      </w:r>
    </w:p>
    <w:p w:rsidR="00C34231" w:rsidRPr="00B43B65" w:rsidRDefault="00C34231" w:rsidP="00B43B65">
      <w:pPr>
        <w:suppressAutoHyphens/>
        <w:spacing w:after="0" w:line="288" w:lineRule="auto"/>
        <w:rPr>
          <w:rFonts w:eastAsiaTheme="majorEastAsia"/>
        </w:rPr>
      </w:pPr>
    </w:p>
    <w:p w:rsidR="003D64D4" w:rsidRPr="00B43B65" w:rsidRDefault="00025C0A" w:rsidP="00B43B65">
      <w:pPr>
        <w:pStyle w:val="Heading2"/>
        <w:suppressAutoHyphens/>
        <w:spacing w:after="0" w:line="288" w:lineRule="auto"/>
        <w:ind w:left="567" w:hanging="567"/>
        <w:jc w:val="both"/>
        <w:rPr>
          <w:rFonts w:asciiTheme="majorHAnsi" w:eastAsiaTheme="majorEastAsia" w:hAnsiTheme="majorHAnsi" w:cstheme="majorBidi"/>
          <w:b/>
          <w:color w:val="365F91" w:themeColor="accent1" w:themeShade="BF"/>
          <w:sz w:val="24"/>
          <w:szCs w:val="32"/>
        </w:rPr>
      </w:pPr>
      <w:r w:rsidRPr="00B43B65">
        <w:t>2.4.</w:t>
      </w:r>
      <w:r w:rsidRPr="00B43B65">
        <w:rPr>
          <w:rFonts w:ascii="Times New Roman" w:hAnsi="Times New Roman"/>
          <w:b/>
          <w:sz w:val="24"/>
          <w:szCs w:val="24"/>
        </w:rPr>
        <w:t xml:space="preserve"> </w:t>
      </w:r>
      <w:r w:rsidRPr="00B43B65">
        <w:rPr>
          <w:rFonts w:ascii="Times New Roman" w:hAnsi="Times New Roman"/>
          <w:b/>
          <w:sz w:val="24"/>
          <w:szCs w:val="24"/>
        </w:rPr>
        <w:tab/>
      </w:r>
      <w:r w:rsidRPr="00B43B65">
        <w:rPr>
          <w:rFonts w:ascii="Times New Roman" w:hAnsi="Times New Roman"/>
          <w:b/>
          <w:sz w:val="24"/>
          <w:szCs w:val="32"/>
        </w:rPr>
        <w:t>Koncept „evropskih lokalnih borz dela“ s podporo EU v podporo zaposlovanju na lokalni ravni</w:t>
      </w:r>
    </w:p>
    <w:p w:rsidR="00CE5349" w:rsidRPr="00B43B65" w:rsidRDefault="00CE5349" w:rsidP="00B43B65">
      <w:pPr>
        <w:suppressAutoHyphens/>
        <w:spacing w:after="0" w:line="288" w:lineRule="auto"/>
      </w:pPr>
    </w:p>
    <w:p w:rsidR="00CC2877" w:rsidRPr="00B43B65" w:rsidRDefault="00394636" w:rsidP="00B43B65">
      <w:pPr>
        <w:suppressAutoHyphens/>
        <w:spacing w:after="0" w:line="288" w:lineRule="auto"/>
        <w:jc w:val="both"/>
      </w:pPr>
      <w:r w:rsidRPr="00B43B65">
        <w:t>Da bi izboljšali povezovanje ponudbe delovnih mest in povpraševanje po njih, je bilo dogovorjeno, da se preučijo možnosti za soorganizacijo evropskih lokalnih borz dela po vsej Evropi. Za organizacijo tovrstne lokalne borze takoj, ko bo to mogoče, se bo morda javil Solun. Tak dogodek bi lahko postal zgled za podobne dogodke v drugih regijah EU. OR in GD EMPL bosta sodelovala pri zasnovi in izvajanju, vključno z vzpostavitvijo, partnerji, financiranjem itd., o katerih</w:t>
      </w:r>
      <w:r w:rsidR="00B43B65" w:rsidRPr="00B43B65">
        <w:t xml:space="preserve"> se bo treba dogovoriti ločeno.</w:t>
      </w:r>
    </w:p>
    <w:p w:rsidR="00FE1A83" w:rsidRPr="00B43B65" w:rsidRDefault="00FE1A83" w:rsidP="00B43B65">
      <w:pPr>
        <w:suppressAutoHyphens/>
        <w:spacing w:after="0" w:line="288" w:lineRule="auto"/>
      </w:pPr>
    </w:p>
    <w:p w:rsidR="00DC5206" w:rsidRPr="00B43B65" w:rsidRDefault="00455FAA" w:rsidP="00B43B65">
      <w:pPr>
        <w:pStyle w:val="Heading3"/>
        <w:suppressAutoHyphens/>
        <w:spacing w:after="0" w:line="288" w:lineRule="auto"/>
        <w:rPr>
          <w:rFonts w:cstheme="minorHAnsi"/>
        </w:rPr>
      </w:pPr>
      <w:r w:rsidRPr="00B43B65">
        <w:t>2.4.1.</w:t>
      </w:r>
      <w:r w:rsidRPr="00B43B65">
        <w:rPr>
          <w:rFonts w:ascii="Times New Roman" w:hAnsi="Times New Roman"/>
          <w:b/>
          <w:sz w:val="24"/>
          <w:szCs w:val="24"/>
        </w:rPr>
        <w:tab/>
        <w:t>Kaj je že vzpostavljeno</w:t>
      </w:r>
    </w:p>
    <w:p w:rsidR="00CC2877" w:rsidRPr="00B43B65" w:rsidRDefault="00CC2877" w:rsidP="00B43B65">
      <w:pPr>
        <w:suppressAutoHyphens/>
        <w:spacing w:after="0" w:line="288" w:lineRule="auto"/>
      </w:pPr>
    </w:p>
    <w:p w:rsidR="00CC2877" w:rsidRPr="00B43B65" w:rsidRDefault="00DF7306" w:rsidP="00B43B65">
      <w:pPr>
        <w:pStyle w:val="ListParagraph"/>
        <w:numPr>
          <w:ilvl w:val="0"/>
          <w:numId w:val="35"/>
        </w:numPr>
        <w:suppressAutoHyphens/>
        <w:spacing w:after="0" w:line="288" w:lineRule="auto"/>
        <w:jc w:val="both"/>
      </w:pPr>
      <w:r w:rsidRPr="00B43B65">
        <w:rPr>
          <w:rFonts w:ascii="Times New Roman" w:hAnsi="Times New Roman"/>
        </w:rPr>
        <w:t>Evropski portal za zaposlitveno mobilnost (EURES) že gosti evropske dneve zaposlovanja, ki spodbujajo mobilnost delovne sile po vsej EU, usklajevanje znanja in spretnosti prosilcev s potrebami delodajalcev v drugih državah članicah (posnemanje takšnih dogodkov mobilnosti ne bi prinesla dodane vrednosti);</w:t>
      </w:r>
    </w:p>
    <w:p w:rsidR="00CC2877" w:rsidRPr="00B43B65" w:rsidRDefault="00CC2877" w:rsidP="00B43B65">
      <w:pPr>
        <w:pStyle w:val="ListParagraph"/>
        <w:suppressAutoHyphens/>
        <w:spacing w:after="0" w:line="288" w:lineRule="auto"/>
        <w:ind w:left="0"/>
        <w:jc w:val="both"/>
      </w:pPr>
    </w:p>
    <w:p w:rsidR="00CC2877" w:rsidRPr="00B43B65" w:rsidRDefault="00501E02" w:rsidP="00B43B65">
      <w:pPr>
        <w:pStyle w:val="ListParagraph"/>
        <w:numPr>
          <w:ilvl w:val="0"/>
          <w:numId w:val="35"/>
        </w:numPr>
        <w:suppressAutoHyphens/>
        <w:spacing w:after="0" w:line="288" w:lineRule="auto"/>
        <w:jc w:val="both"/>
      </w:pPr>
      <w:r w:rsidRPr="00B43B65">
        <w:rPr>
          <w:rFonts w:ascii="Times New Roman" w:hAnsi="Times New Roman"/>
        </w:rPr>
        <w:t>več projektov EU je namenjenih boju proti brezposelnosti, vzpostavljeni pa so tudi nacionalni programi z istim ciljem;</w:t>
      </w:r>
    </w:p>
    <w:p w:rsidR="00CC2877" w:rsidRPr="00B43B65" w:rsidRDefault="00CC2877" w:rsidP="00B43B65">
      <w:pPr>
        <w:pStyle w:val="ListParagraph"/>
        <w:suppressAutoHyphens/>
        <w:spacing w:after="0" w:line="288" w:lineRule="auto"/>
        <w:ind w:left="0"/>
        <w:jc w:val="both"/>
      </w:pPr>
    </w:p>
    <w:p w:rsidR="00CC2877" w:rsidRPr="00B43B65" w:rsidRDefault="002867F1" w:rsidP="00B43B65">
      <w:pPr>
        <w:pStyle w:val="ListParagraph"/>
        <w:numPr>
          <w:ilvl w:val="0"/>
          <w:numId w:val="35"/>
        </w:numPr>
        <w:suppressAutoHyphens/>
        <w:spacing w:after="0" w:line="288" w:lineRule="auto"/>
        <w:jc w:val="both"/>
      </w:pPr>
      <w:r w:rsidRPr="00B43B65">
        <w:rPr>
          <w:rFonts w:ascii="Times New Roman" w:hAnsi="Times New Roman"/>
        </w:rPr>
        <w:t>ESS je že in ESS+ bo glavni instrument za financiranje lokalnih strategij zaposlovanja ter spodbujanje usposabljanja in izpopolnjevanja ter prekvalifikacije;</w:t>
      </w:r>
    </w:p>
    <w:p w:rsidR="00CC2877" w:rsidRPr="00B43B65" w:rsidRDefault="00CC2877" w:rsidP="00B43B65">
      <w:pPr>
        <w:pStyle w:val="ListParagraph"/>
        <w:suppressAutoHyphens/>
        <w:spacing w:after="0" w:line="288" w:lineRule="auto"/>
        <w:ind w:left="0"/>
        <w:jc w:val="both"/>
      </w:pPr>
    </w:p>
    <w:p w:rsidR="00CC2877" w:rsidRPr="00B43B65" w:rsidRDefault="00DF7306" w:rsidP="00B43B65">
      <w:pPr>
        <w:numPr>
          <w:ilvl w:val="0"/>
          <w:numId w:val="35"/>
        </w:numPr>
        <w:suppressAutoHyphens/>
        <w:spacing w:after="0" w:line="288" w:lineRule="auto"/>
        <w:jc w:val="both"/>
        <w:rPr>
          <w:rFonts w:eastAsia="Times New Roman"/>
          <w:sz w:val="24"/>
          <w:szCs w:val="24"/>
        </w:rPr>
      </w:pPr>
      <w:r w:rsidRPr="00B43B65">
        <w:t xml:space="preserve">Program Evropske unije za zaposlovanje in socialne inovacije EaSI (2014–2020) ima tri osi (Napredek pri posodabljanju služb za zaposlovanje in socialnih služb, EURES za mobilnost delovne </w:t>
      </w:r>
      <w:r w:rsidRPr="00B43B65">
        <w:lastRenderedPageBreak/>
        <w:t>sile ter Mikrofinanciranje in socialno podjetništvo, ki ranljivim skupinam in podjetjem zagotavlja mikroposojila in mikrokredite ter podpira socialno podjetništvo). Program InvestEU bo od leta 2021 zagotavljal podobne priložnosti.</w:t>
      </w:r>
    </w:p>
    <w:p w:rsidR="00FE1A83" w:rsidRPr="00B43B65" w:rsidRDefault="00FE1A83" w:rsidP="00B43B65">
      <w:pPr>
        <w:suppressAutoHyphens/>
        <w:spacing w:after="0" w:line="288" w:lineRule="auto"/>
      </w:pPr>
    </w:p>
    <w:p w:rsidR="00CC2877" w:rsidRPr="00B43B65" w:rsidRDefault="00455FAA" w:rsidP="00B43B65">
      <w:pPr>
        <w:pStyle w:val="Heading3"/>
        <w:suppressAutoHyphens/>
        <w:spacing w:after="0" w:line="288" w:lineRule="auto"/>
        <w:rPr>
          <w:rFonts w:asciiTheme="majorHAnsi" w:eastAsiaTheme="majorEastAsia" w:hAnsiTheme="majorHAnsi" w:cstheme="majorBidi"/>
        </w:rPr>
      </w:pPr>
      <w:r w:rsidRPr="00B43B65">
        <w:t>2.4.2.</w:t>
      </w:r>
      <w:r w:rsidRPr="00B43B65">
        <w:tab/>
      </w:r>
      <w:r w:rsidRPr="00B43B65">
        <w:rPr>
          <w:rFonts w:ascii="Times New Roman" w:hAnsi="Times New Roman"/>
          <w:b/>
          <w:sz w:val="24"/>
          <w:szCs w:val="32"/>
        </w:rPr>
        <w:t>Dodana vrednost evropskih lokalnih borz dela</w:t>
      </w:r>
    </w:p>
    <w:p w:rsidR="00CC2877" w:rsidRPr="00B43B65" w:rsidRDefault="00CC2877" w:rsidP="00B43B65">
      <w:pPr>
        <w:suppressAutoHyphens/>
        <w:spacing w:after="0" w:line="288" w:lineRule="auto"/>
      </w:pPr>
    </w:p>
    <w:p w:rsidR="00CC2877" w:rsidRPr="00B43B65" w:rsidRDefault="00CC2877" w:rsidP="00B43B65">
      <w:pPr>
        <w:pStyle w:val="ListParagraph"/>
        <w:suppressAutoHyphens/>
        <w:spacing w:after="0" w:line="288" w:lineRule="auto"/>
        <w:ind w:left="0"/>
        <w:jc w:val="both"/>
      </w:pPr>
      <w:r w:rsidRPr="00B43B65">
        <w:rPr>
          <w:rFonts w:ascii="Times New Roman" w:hAnsi="Times New Roman"/>
        </w:rPr>
        <w:t>Glede na obstoječe pobude EU in druge pobude bi bila posebna dodana vrednost evropske lokalne borze dela:</w:t>
      </w:r>
    </w:p>
    <w:p w:rsidR="00100433" w:rsidRPr="00B43B65" w:rsidRDefault="00100433" w:rsidP="00B43B65">
      <w:pPr>
        <w:pStyle w:val="ListParagraph"/>
        <w:suppressAutoHyphens/>
        <w:spacing w:after="0" w:line="288" w:lineRule="auto"/>
        <w:ind w:left="0"/>
        <w:jc w:val="both"/>
      </w:pPr>
    </w:p>
    <w:p w:rsidR="00100433" w:rsidRPr="00B43B65" w:rsidRDefault="00100433" w:rsidP="00B43B65">
      <w:pPr>
        <w:pStyle w:val="ListParagraph"/>
        <w:numPr>
          <w:ilvl w:val="0"/>
          <w:numId w:val="35"/>
        </w:numPr>
        <w:suppressAutoHyphens/>
        <w:spacing w:after="0" w:line="288" w:lineRule="auto"/>
        <w:jc w:val="both"/>
      </w:pPr>
      <w:r w:rsidRPr="00B43B65">
        <w:rPr>
          <w:rFonts w:ascii="Times New Roman" w:hAnsi="Times New Roman"/>
        </w:rPr>
        <w:t>predstaviti obstoječe storitve EU za iskalce zaposlitve na lokalni, nacionalni in evropski ravni;</w:t>
      </w:r>
    </w:p>
    <w:p w:rsidR="0002399B" w:rsidRPr="00B43B65" w:rsidRDefault="0002399B" w:rsidP="00B43B65">
      <w:pPr>
        <w:pStyle w:val="ListParagraph"/>
        <w:numPr>
          <w:ilvl w:val="0"/>
          <w:numId w:val="35"/>
        </w:numPr>
        <w:suppressAutoHyphens/>
        <w:spacing w:after="0" w:line="288" w:lineRule="auto"/>
        <w:jc w:val="both"/>
      </w:pPr>
      <w:r w:rsidRPr="00B43B65">
        <w:rPr>
          <w:rFonts w:ascii="Times New Roman" w:hAnsi="Times New Roman"/>
        </w:rPr>
        <w:t>predstaviti nove trende na področju znanj in spretnosti ter zaposlovanja na lokalni in evropski ravni;</w:t>
      </w:r>
    </w:p>
    <w:p w:rsidR="00100433" w:rsidRPr="00B43B65" w:rsidRDefault="00100433" w:rsidP="00B43B65">
      <w:pPr>
        <w:pStyle w:val="ListParagraph"/>
        <w:numPr>
          <w:ilvl w:val="0"/>
          <w:numId w:val="35"/>
        </w:numPr>
        <w:suppressAutoHyphens/>
        <w:spacing w:after="0" w:line="288" w:lineRule="auto"/>
        <w:jc w:val="both"/>
      </w:pPr>
      <w:r w:rsidRPr="00B43B65">
        <w:rPr>
          <w:rFonts w:ascii="Times New Roman" w:hAnsi="Times New Roman"/>
        </w:rPr>
        <w:t>predstaviti sheme EU za podporo lokalnim in regionalnim strategijam zaposlovanja glede na tekoče dejavnosti načrtovanja prihodnjih programov ESS;</w:t>
      </w:r>
    </w:p>
    <w:p w:rsidR="00100433" w:rsidRPr="00B43B65" w:rsidRDefault="00100433" w:rsidP="00B43B65">
      <w:pPr>
        <w:pStyle w:val="ListParagraph"/>
        <w:numPr>
          <w:ilvl w:val="0"/>
          <w:numId w:val="35"/>
        </w:numPr>
        <w:suppressAutoHyphens/>
        <w:spacing w:after="0" w:line="288" w:lineRule="auto"/>
        <w:jc w:val="both"/>
      </w:pPr>
      <w:r w:rsidRPr="00B43B65">
        <w:rPr>
          <w:rFonts w:ascii="Times New Roman" w:hAnsi="Times New Roman"/>
        </w:rPr>
        <w:t xml:space="preserve">pokazati povezave med različnimi politikami in programi EU z vidika mladih; </w:t>
      </w:r>
    </w:p>
    <w:p w:rsidR="00C97045" w:rsidRPr="00B43B65" w:rsidRDefault="00100433" w:rsidP="00B43B65">
      <w:pPr>
        <w:pStyle w:val="ListParagraph"/>
        <w:numPr>
          <w:ilvl w:val="0"/>
          <w:numId w:val="35"/>
        </w:numPr>
        <w:suppressAutoHyphens/>
        <w:spacing w:after="0" w:line="288" w:lineRule="auto"/>
        <w:jc w:val="both"/>
      </w:pPr>
      <w:r w:rsidRPr="00B43B65">
        <w:rPr>
          <w:rFonts w:ascii="Times New Roman" w:hAnsi="Times New Roman"/>
        </w:rPr>
        <w:t>zagotoviti podlago za dialog z državljani o socialni razsežnosti EU in njenem pomenu za lokalno in regionalno zaposlovanje;</w:t>
      </w:r>
    </w:p>
    <w:p w:rsidR="00100433" w:rsidRPr="00B43B65" w:rsidRDefault="00C97045" w:rsidP="00B43B65">
      <w:pPr>
        <w:pStyle w:val="ListParagraph"/>
        <w:numPr>
          <w:ilvl w:val="0"/>
          <w:numId w:val="35"/>
        </w:numPr>
        <w:suppressAutoHyphens/>
        <w:spacing w:after="0" w:line="288" w:lineRule="auto"/>
        <w:jc w:val="both"/>
      </w:pPr>
      <w:r w:rsidRPr="00B43B65">
        <w:rPr>
          <w:rFonts w:ascii="Times New Roman" w:hAnsi="Times New Roman"/>
        </w:rPr>
        <w:t>podpreti lokalne povezave med delovnimi mesti in znanji ter znanji in spretnostmi s podporo iz sredstev EU za tovrstne lokalne dogodke.</w:t>
      </w:r>
    </w:p>
    <w:p w:rsidR="00FE1A83" w:rsidRPr="00B43B65" w:rsidRDefault="00FE1A83" w:rsidP="00B43B65">
      <w:pPr>
        <w:suppressAutoHyphens/>
        <w:spacing w:after="0" w:line="288" w:lineRule="auto"/>
      </w:pPr>
    </w:p>
    <w:p w:rsidR="00F165DD" w:rsidRPr="00B43B65" w:rsidRDefault="001A2D75" w:rsidP="00B43B65">
      <w:pPr>
        <w:suppressAutoHyphens/>
        <w:spacing w:after="0" w:line="288" w:lineRule="auto"/>
        <w:jc w:val="both"/>
      </w:pPr>
      <w:r w:rsidRPr="00B43B65">
        <w:t>Na tej točki je pomembno organizirati tovrstne borze dela v okviru prizadevanj za okrevanje po pandemiji COVID-19. Zato je bistveno, da se začne politični dialog z vodilnimi predstavniki socialnih partnerjev z udeležbo članov OR in predstavnikov EU o konceptih in strategijah za reševanje sedanjih izzivov na področju zaposlovanja.</w:t>
      </w:r>
    </w:p>
    <w:p w:rsidR="00FE1A83" w:rsidRPr="00B43B65" w:rsidRDefault="00FE1A83" w:rsidP="00B43B65">
      <w:pPr>
        <w:suppressAutoHyphens/>
        <w:spacing w:after="0" w:line="288" w:lineRule="auto"/>
      </w:pPr>
    </w:p>
    <w:p w:rsidR="00100433" w:rsidRPr="00B43B65" w:rsidRDefault="00455FAA" w:rsidP="00B43B65">
      <w:pPr>
        <w:pStyle w:val="Heading3"/>
        <w:suppressAutoHyphens/>
        <w:spacing w:after="0" w:line="288" w:lineRule="auto"/>
        <w:ind w:left="709" w:hanging="709"/>
        <w:rPr>
          <w:rFonts w:eastAsiaTheme="majorEastAsia" w:cstheme="minorHAnsi"/>
          <w:b/>
        </w:rPr>
      </w:pPr>
      <w:r w:rsidRPr="00B43B65">
        <w:t>2.4.3.</w:t>
      </w:r>
      <w:r w:rsidRPr="00B43B65">
        <w:rPr>
          <w:rFonts w:ascii="Times New Roman" w:hAnsi="Times New Roman"/>
          <w:b/>
          <w:sz w:val="24"/>
          <w:szCs w:val="24"/>
        </w:rPr>
        <w:tab/>
      </w:r>
      <w:r w:rsidRPr="00B43B65">
        <w:rPr>
          <w:rFonts w:ascii="Times New Roman" w:hAnsi="Times New Roman"/>
          <w:b/>
          <w:sz w:val="24"/>
          <w:szCs w:val="32"/>
        </w:rPr>
        <w:t>Ciljna skupina za evropske lokalne borze dela</w:t>
      </w:r>
    </w:p>
    <w:p w:rsidR="0002399B" w:rsidRPr="00B43B65" w:rsidRDefault="0002399B" w:rsidP="00B43B65">
      <w:pPr>
        <w:suppressAutoHyphens/>
        <w:spacing w:after="0" w:line="288" w:lineRule="auto"/>
      </w:pPr>
    </w:p>
    <w:p w:rsidR="0002399B" w:rsidRPr="00B43B65" w:rsidRDefault="0002399B" w:rsidP="00B43B65">
      <w:pPr>
        <w:suppressAutoHyphens/>
        <w:spacing w:after="0" w:line="288" w:lineRule="auto"/>
      </w:pPr>
      <w:r w:rsidRPr="00B43B65">
        <w:t>Ciljna skupina za evropske lokalne borze dela bi lahko med drugim bili:</w:t>
      </w:r>
    </w:p>
    <w:p w:rsidR="0002399B" w:rsidRPr="00B43B65" w:rsidRDefault="0002399B" w:rsidP="00B43B65">
      <w:pPr>
        <w:suppressAutoHyphens/>
        <w:spacing w:after="0" w:line="288" w:lineRule="auto"/>
      </w:pPr>
    </w:p>
    <w:p w:rsidR="0002399B" w:rsidRPr="00B43B65" w:rsidRDefault="0002399B" w:rsidP="00B43B65">
      <w:pPr>
        <w:pStyle w:val="ListParagraph"/>
        <w:numPr>
          <w:ilvl w:val="0"/>
          <w:numId w:val="33"/>
        </w:numPr>
        <w:suppressAutoHyphens/>
        <w:spacing w:after="0" w:line="288" w:lineRule="auto"/>
        <w:ind w:left="360"/>
      </w:pPr>
      <w:r w:rsidRPr="00B43B65">
        <w:rPr>
          <w:rFonts w:ascii="Times New Roman" w:hAnsi="Times New Roman"/>
        </w:rPr>
        <w:t>iskalci zaposlitve, zlasti študenti in nedavni diplomanti;</w:t>
      </w:r>
    </w:p>
    <w:p w:rsidR="0002399B" w:rsidRPr="00B43B65" w:rsidRDefault="0002399B" w:rsidP="00B43B65">
      <w:pPr>
        <w:pStyle w:val="ListParagraph"/>
        <w:numPr>
          <w:ilvl w:val="0"/>
          <w:numId w:val="33"/>
        </w:numPr>
        <w:suppressAutoHyphens/>
        <w:spacing w:after="0" w:line="288" w:lineRule="auto"/>
        <w:ind w:left="360"/>
      </w:pPr>
      <w:r w:rsidRPr="00B43B65">
        <w:rPr>
          <w:rFonts w:ascii="Times New Roman" w:hAnsi="Times New Roman"/>
        </w:rPr>
        <w:t>lokalne/regionalne javne službe za zaposlovanje;</w:t>
      </w:r>
    </w:p>
    <w:p w:rsidR="0002399B" w:rsidRPr="00B43B65" w:rsidRDefault="0002399B" w:rsidP="00B43B65">
      <w:pPr>
        <w:pStyle w:val="ListParagraph"/>
        <w:numPr>
          <w:ilvl w:val="0"/>
          <w:numId w:val="33"/>
        </w:numPr>
        <w:suppressAutoHyphens/>
        <w:spacing w:after="0" w:line="288" w:lineRule="auto"/>
        <w:ind w:left="360"/>
      </w:pPr>
      <w:r w:rsidRPr="00B43B65">
        <w:rPr>
          <w:rFonts w:ascii="Times New Roman" w:hAnsi="Times New Roman"/>
        </w:rPr>
        <w:t>agencije za usposabljanje, preusposabljanje in zaposlovanje;</w:t>
      </w:r>
    </w:p>
    <w:p w:rsidR="0002399B" w:rsidRPr="00B43B65" w:rsidRDefault="0002399B" w:rsidP="00B43B65">
      <w:pPr>
        <w:pStyle w:val="ListParagraph"/>
        <w:numPr>
          <w:ilvl w:val="0"/>
          <w:numId w:val="33"/>
        </w:numPr>
        <w:suppressAutoHyphens/>
        <w:spacing w:after="0" w:line="288" w:lineRule="auto"/>
        <w:ind w:left="360"/>
      </w:pPr>
      <w:r w:rsidRPr="00B43B65">
        <w:rPr>
          <w:rFonts w:ascii="Times New Roman" w:hAnsi="Times New Roman"/>
        </w:rPr>
        <w:t>socialni partnerji, izobraževalne ustanove;</w:t>
      </w:r>
    </w:p>
    <w:p w:rsidR="0002399B" w:rsidRPr="00B43B65" w:rsidRDefault="0002399B" w:rsidP="00B43B65">
      <w:pPr>
        <w:pStyle w:val="ListParagraph"/>
        <w:numPr>
          <w:ilvl w:val="0"/>
          <w:numId w:val="33"/>
        </w:numPr>
        <w:suppressAutoHyphens/>
        <w:spacing w:after="0" w:line="288" w:lineRule="auto"/>
        <w:ind w:left="360"/>
      </w:pPr>
      <w:r w:rsidRPr="00B43B65">
        <w:rPr>
          <w:rFonts w:ascii="Times New Roman" w:hAnsi="Times New Roman"/>
        </w:rPr>
        <w:t>lokalne/regionalne oblasti in politiki ter</w:t>
      </w:r>
    </w:p>
    <w:p w:rsidR="0002399B" w:rsidRPr="00B43B65" w:rsidRDefault="0002399B" w:rsidP="00B43B65">
      <w:pPr>
        <w:pStyle w:val="ListParagraph"/>
        <w:numPr>
          <w:ilvl w:val="0"/>
          <w:numId w:val="33"/>
        </w:numPr>
        <w:suppressAutoHyphens/>
        <w:spacing w:after="0" w:line="288" w:lineRule="auto"/>
        <w:ind w:left="360"/>
      </w:pPr>
      <w:r w:rsidRPr="00B43B65">
        <w:rPr>
          <w:rFonts w:ascii="Times New Roman" w:hAnsi="Times New Roman"/>
        </w:rPr>
        <w:t>lokalni/regionalni mediji.</w:t>
      </w:r>
    </w:p>
    <w:p w:rsidR="00FE1A83" w:rsidRPr="00B43B65" w:rsidRDefault="00FE1A83" w:rsidP="00B43B65">
      <w:pPr>
        <w:suppressAutoHyphens/>
        <w:spacing w:after="0" w:line="288" w:lineRule="auto"/>
      </w:pPr>
    </w:p>
    <w:p w:rsidR="0002399B" w:rsidRPr="00B43B65" w:rsidRDefault="00455FAA" w:rsidP="00B43B65">
      <w:pPr>
        <w:pStyle w:val="Heading3"/>
        <w:tabs>
          <w:tab w:val="left" w:pos="567"/>
        </w:tabs>
        <w:suppressAutoHyphens/>
        <w:spacing w:after="0" w:line="288" w:lineRule="auto"/>
        <w:rPr>
          <w:rFonts w:asciiTheme="majorHAnsi" w:hAnsiTheme="majorHAnsi"/>
          <w:color w:val="365F91" w:themeColor="accent1" w:themeShade="BF"/>
        </w:rPr>
      </w:pPr>
      <w:r w:rsidRPr="00B43B65">
        <w:t>2.4.4</w:t>
      </w:r>
      <w:r w:rsidRPr="00B43B65">
        <w:rPr>
          <w:rFonts w:ascii="Times New Roman" w:hAnsi="Times New Roman"/>
          <w:b/>
          <w:sz w:val="24"/>
          <w:szCs w:val="24"/>
        </w:rPr>
        <w:t>.</w:t>
      </w:r>
      <w:r w:rsidRPr="00B43B65">
        <w:rPr>
          <w:rFonts w:ascii="Times New Roman" w:hAnsi="Times New Roman"/>
          <w:b/>
          <w:sz w:val="24"/>
          <w:szCs w:val="24"/>
        </w:rPr>
        <w:tab/>
        <w:t>Možni partnerji in izvajanje</w:t>
      </w:r>
    </w:p>
    <w:p w:rsidR="0002399B" w:rsidRPr="00B43B65" w:rsidRDefault="0002399B" w:rsidP="00B43B65">
      <w:pPr>
        <w:suppressAutoHyphens/>
        <w:spacing w:after="0" w:line="288" w:lineRule="auto"/>
      </w:pPr>
    </w:p>
    <w:p w:rsidR="0002399B" w:rsidRPr="00B43B65" w:rsidRDefault="00E0617C" w:rsidP="00B43B65">
      <w:pPr>
        <w:suppressAutoHyphens/>
        <w:spacing w:after="0" w:line="288" w:lineRule="auto"/>
        <w:jc w:val="both"/>
      </w:pPr>
      <w:r w:rsidRPr="00B43B65">
        <w:t>Evropska lokalna borza dela bo najuspešnejša, če bodo od samega začetka pri njej sodelovali pravi partnerji, da se zagotovi pomemben prispevek. Vključeni bi bili lahko naslednji partnerji:</w:t>
      </w:r>
    </w:p>
    <w:p w:rsidR="0002399B" w:rsidRPr="00B43B65" w:rsidRDefault="0002399B" w:rsidP="00B43B65">
      <w:pPr>
        <w:suppressAutoHyphens/>
        <w:spacing w:after="0" w:line="288" w:lineRule="auto"/>
      </w:pPr>
    </w:p>
    <w:p w:rsidR="0002399B" w:rsidRPr="00B43B65" w:rsidRDefault="00E0617C" w:rsidP="00B43B65">
      <w:pPr>
        <w:pStyle w:val="ListParagraph"/>
        <w:numPr>
          <w:ilvl w:val="0"/>
          <w:numId w:val="40"/>
        </w:numPr>
        <w:suppressAutoHyphens/>
        <w:spacing w:after="0" w:line="288" w:lineRule="auto"/>
        <w:jc w:val="both"/>
      </w:pPr>
      <w:r w:rsidRPr="00B43B65">
        <w:rPr>
          <w:rFonts w:ascii="Times New Roman" w:hAnsi="Times New Roman"/>
          <w:u w:val="single"/>
        </w:rPr>
        <w:t>na lokalni ravni</w:t>
      </w:r>
      <w:r w:rsidRPr="00B43B65">
        <w:rPr>
          <w:rFonts w:ascii="Times New Roman" w:hAnsi="Times New Roman"/>
        </w:rPr>
        <w:t>: javni organi, gospodarske zbornice in poslovna združenja, sindikati, civilna družba, šole, univerze itd.;</w:t>
      </w:r>
    </w:p>
    <w:p w:rsidR="0002399B" w:rsidRPr="00B43B65" w:rsidRDefault="00E0617C" w:rsidP="00B43B65">
      <w:pPr>
        <w:pStyle w:val="ListParagraph"/>
        <w:numPr>
          <w:ilvl w:val="0"/>
          <w:numId w:val="40"/>
        </w:numPr>
        <w:suppressAutoHyphens/>
        <w:spacing w:after="0" w:line="288" w:lineRule="auto"/>
        <w:jc w:val="both"/>
      </w:pPr>
      <w:r w:rsidRPr="00B43B65">
        <w:rPr>
          <w:rFonts w:ascii="Times New Roman" w:hAnsi="Times New Roman"/>
          <w:u w:val="single"/>
        </w:rPr>
        <w:lastRenderedPageBreak/>
        <w:t>na regionalni ravni</w:t>
      </w:r>
      <w:r w:rsidRPr="00B43B65">
        <w:rPr>
          <w:rFonts w:ascii="Times New Roman" w:hAnsi="Times New Roman"/>
        </w:rPr>
        <w:t>: organ upravljanja ESS, zavodi za zaposlovanje, regionalna ministrstva, regionalna poslovna združenja, univerze itd.;</w:t>
      </w:r>
    </w:p>
    <w:p w:rsidR="0002399B" w:rsidRPr="00B43B65" w:rsidRDefault="00E0617C" w:rsidP="00B43B65">
      <w:pPr>
        <w:pStyle w:val="ListParagraph"/>
        <w:numPr>
          <w:ilvl w:val="0"/>
          <w:numId w:val="40"/>
        </w:numPr>
        <w:suppressAutoHyphens/>
        <w:spacing w:after="0" w:line="288" w:lineRule="auto"/>
        <w:jc w:val="both"/>
      </w:pPr>
      <w:r w:rsidRPr="00B43B65">
        <w:rPr>
          <w:rFonts w:ascii="Times New Roman" w:hAnsi="Times New Roman"/>
          <w:u w:val="single"/>
        </w:rPr>
        <w:t>na nacionalni ravni</w:t>
      </w:r>
      <w:r w:rsidRPr="00B43B65">
        <w:rPr>
          <w:rFonts w:ascii="Times New Roman" w:hAnsi="Times New Roman"/>
        </w:rPr>
        <w:t>: državna ministrstva, združenja socialnega sektorja, poslovna združenja, združenja institucij za usposabljanje, združenja univerz itd.;</w:t>
      </w:r>
    </w:p>
    <w:p w:rsidR="00256F0C" w:rsidRPr="00B43B65" w:rsidRDefault="00E0617C" w:rsidP="00B43B65">
      <w:pPr>
        <w:pStyle w:val="ListParagraph"/>
        <w:numPr>
          <w:ilvl w:val="0"/>
          <w:numId w:val="40"/>
        </w:numPr>
        <w:suppressAutoHyphens/>
        <w:spacing w:after="0" w:line="288" w:lineRule="auto"/>
        <w:jc w:val="both"/>
      </w:pPr>
      <w:r w:rsidRPr="00B43B65">
        <w:rPr>
          <w:rFonts w:ascii="Times New Roman" w:hAnsi="Times New Roman"/>
          <w:u w:val="single"/>
        </w:rPr>
        <w:t>na ravni EU</w:t>
      </w:r>
      <w:r w:rsidRPr="00B43B65">
        <w:rPr>
          <w:rFonts w:ascii="Times New Roman" w:hAnsi="Times New Roman"/>
        </w:rPr>
        <w:t>: Evropska komisija (predvsem GD EMPL; drugi generalni direktorati in službe, ki bi lahko bili povabljeni, tj. GD EAC; GD REGIO, GD REFORM, JRC), agencije EU (ELA, CEDEFOP, EUROFOUND); člani OR; poslanci Evropskega parlamenta; socialni partnerji.</w:t>
      </w:r>
    </w:p>
    <w:p w:rsidR="00FE1A83" w:rsidRPr="00B43B65" w:rsidRDefault="00FE1A83" w:rsidP="00B43B65">
      <w:pPr>
        <w:suppressAutoHyphens/>
        <w:spacing w:after="0" w:line="288" w:lineRule="auto"/>
      </w:pPr>
    </w:p>
    <w:p w:rsidR="00834904" w:rsidRPr="00B43B65" w:rsidRDefault="00834904" w:rsidP="00B43B65">
      <w:pPr>
        <w:suppressAutoHyphens/>
        <w:spacing w:after="0" w:line="288" w:lineRule="auto"/>
      </w:pPr>
      <w:r w:rsidRPr="00B43B65">
        <w:t xml:space="preserve">Ker pandemija COVID-19 trenutno onemogoča fizično organizacijo borz, bi lahko razmislili o organizaciji dogodkov, kot so </w:t>
      </w:r>
      <w:hyperlink r:id="rId14" w:history="1">
        <w:r w:rsidRPr="00B43B65">
          <w:t>spletni evropski dnevi zaposlovanja</w:t>
        </w:r>
      </w:hyperlink>
      <w:r w:rsidRPr="00B43B65">
        <w:t>, v dogovoru z ustreznim nacionalnim uradom za usklajevanje mreže EURES in v sodelovanju z njim.</w:t>
      </w:r>
    </w:p>
    <w:p w:rsidR="003E0FE7" w:rsidRPr="00B43B65" w:rsidRDefault="003E0FE7" w:rsidP="00B43B65">
      <w:pPr>
        <w:suppressAutoHyphens/>
        <w:spacing w:after="0" w:line="288" w:lineRule="auto"/>
      </w:pPr>
    </w:p>
    <w:p w:rsidR="00E6624D" w:rsidRPr="00B43B65" w:rsidRDefault="00E6624D" w:rsidP="00B43B65">
      <w:pPr>
        <w:suppressAutoHyphens/>
        <w:spacing w:after="0" w:line="288" w:lineRule="auto"/>
      </w:pPr>
      <w:r w:rsidRPr="00B43B65">
        <w:t>Vloge in odgovornosti organizatorjev in partnerjev bodo opredeljene v ločenih dogovorih.</w:t>
      </w:r>
    </w:p>
    <w:p w:rsidR="00F165DD" w:rsidRPr="00B43B65" w:rsidRDefault="00F165DD" w:rsidP="00B43B65">
      <w:pPr>
        <w:suppressAutoHyphens/>
        <w:spacing w:after="0" w:line="288" w:lineRule="auto"/>
        <w:rPr>
          <w:sz w:val="24"/>
        </w:rPr>
      </w:pPr>
    </w:p>
    <w:p w:rsidR="001A2D75" w:rsidRPr="00B43B65" w:rsidRDefault="001A2D75" w:rsidP="00B43B65">
      <w:pPr>
        <w:pStyle w:val="ListParagraph"/>
        <w:numPr>
          <w:ilvl w:val="2"/>
          <w:numId w:val="22"/>
        </w:numPr>
        <w:suppressAutoHyphens/>
        <w:spacing w:after="0" w:line="288" w:lineRule="auto"/>
        <w:rPr>
          <w:b/>
          <w:sz w:val="24"/>
        </w:rPr>
      </w:pPr>
      <w:r w:rsidRPr="00B43B65">
        <w:rPr>
          <w:rFonts w:ascii="Times New Roman" w:hAnsi="Times New Roman"/>
          <w:b/>
          <w:sz w:val="24"/>
        </w:rPr>
        <w:t>Financiranje in druga podpora</w:t>
      </w:r>
    </w:p>
    <w:p w:rsidR="001A2D75" w:rsidRPr="00B43B65" w:rsidRDefault="001A2D75" w:rsidP="00B43B65">
      <w:pPr>
        <w:suppressAutoHyphens/>
        <w:spacing w:after="0" w:line="288" w:lineRule="auto"/>
      </w:pPr>
    </w:p>
    <w:p w:rsidR="006C7232" w:rsidRPr="00B43B65" w:rsidRDefault="001A2D75" w:rsidP="00B43B65">
      <w:pPr>
        <w:suppressAutoHyphens/>
        <w:spacing w:after="0" w:line="288" w:lineRule="auto"/>
      </w:pPr>
      <w:r w:rsidRPr="00B43B65">
        <w:t>Evropske lokalne borze dela v organizaciji članov bi bile lahko podprte s sredstvi EU. Odbor regij in GD EMPL bosta skupaj preučila ustrezne možnosti za finančno podporo teh dogodkov.</w:t>
      </w:r>
    </w:p>
    <w:p w:rsidR="001A2D75" w:rsidRPr="00B43B65" w:rsidRDefault="001A2D75" w:rsidP="00B43B65">
      <w:pPr>
        <w:suppressAutoHyphens/>
        <w:spacing w:after="0" w:line="288" w:lineRule="auto"/>
      </w:pPr>
    </w:p>
    <w:p w:rsidR="001A2D75" w:rsidRPr="00B43B65" w:rsidRDefault="008D4711" w:rsidP="00B43B65">
      <w:pPr>
        <w:suppressAutoHyphens/>
        <w:spacing w:after="0" w:line="288" w:lineRule="auto"/>
      </w:pPr>
      <w:r w:rsidRPr="00B43B65">
        <w:t>Druga podpora bi lahko vključevala:</w:t>
      </w:r>
    </w:p>
    <w:p w:rsidR="001A2D75" w:rsidRPr="00B43B65" w:rsidRDefault="001A2D75" w:rsidP="00B43B65">
      <w:pPr>
        <w:suppressAutoHyphens/>
        <w:spacing w:after="0" w:line="288" w:lineRule="auto"/>
      </w:pPr>
    </w:p>
    <w:p w:rsidR="001A2D75" w:rsidRPr="00B43B65" w:rsidRDefault="001A2D75" w:rsidP="00B43B65">
      <w:pPr>
        <w:pStyle w:val="ListParagraph"/>
        <w:numPr>
          <w:ilvl w:val="0"/>
          <w:numId w:val="41"/>
        </w:numPr>
        <w:suppressAutoHyphens/>
        <w:spacing w:after="0" w:line="288" w:lineRule="auto"/>
        <w:jc w:val="both"/>
      </w:pPr>
      <w:r w:rsidRPr="00B43B65">
        <w:rPr>
          <w:rFonts w:ascii="Times New Roman" w:hAnsi="Times New Roman"/>
        </w:rPr>
        <w:t>zavezanost partnerjev EU k dejavnemu sodelovanju na borzi (z napotitvijo strokovnjakov in predstavnikov);</w:t>
      </w:r>
    </w:p>
    <w:p w:rsidR="001A2D75" w:rsidRPr="00B43B65" w:rsidRDefault="001A2D75" w:rsidP="00B43B65">
      <w:pPr>
        <w:pStyle w:val="ListParagraph"/>
        <w:numPr>
          <w:ilvl w:val="0"/>
          <w:numId w:val="41"/>
        </w:numPr>
        <w:suppressAutoHyphens/>
        <w:spacing w:after="0" w:line="288" w:lineRule="auto"/>
        <w:jc w:val="both"/>
      </w:pPr>
      <w:r w:rsidRPr="00B43B65">
        <w:rPr>
          <w:rFonts w:ascii="Times New Roman" w:hAnsi="Times New Roman"/>
        </w:rPr>
        <w:t>zavezanost partnerjev EU k pripravi ustreznega informativnega gradiva za dogodek;</w:t>
      </w:r>
    </w:p>
    <w:p w:rsidR="001A2D75" w:rsidRPr="00B43B65" w:rsidRDefault="001A2D75" w:rsidP="00B43B65">
      <w:pPr>
        <w:pStyle w:val="ListParagraph"/>
        <w:numPr>
          <w:ilvl w:val="0"/>
          <w:numId w:val="41"/>
        </w:numPr>
        <w:suppressAutoHyphens/>
        <w:spacing w:after="0" w:line="288" w:lineRule="auto"/>
        <w:jc w:val="both"/>
      </w:pPr>
      <w:r w:rsidRPr="00B43B65">
        <w:rPr>
          <w:rFonts w:ascii="Times New Roman" w:hAnsi="Times New Roman"/>
        </w:rPr>
        <w:t>zavezanost k zastopanju na visoki ravni, kadar je to izvedljivo: prisotnost komisarja ali predstavnika višjega vodstva GD EMPL na borzi.</w:t>
      </w:r>
    </w:p>
    <w:p w:rsidR="007A1EBE" w:rsidRPr="00B43B65" w:rsidRDefault="007A1EBE" w:rsidP="00B43B65">
      <w:pPr>
        <w:suppressAutoHyphens/>
        <w:spacing w:after="0" w:line="288" w:lineRule="auto"/>
      </w:pPr>
    </w:p>
    <w:p w:rsidR="00E01D16" w:rsidRPr="00B43B65" w:rsidRDefault="008C4469" w:rsidP="00B43B65">
      <w:pPr>
        <w:pStyle w:val="Heading1"/>
        <w:keepNext w:val="0"/>
        <w:keepLines w:val="0"/>
        <w:suppressAutoHyphens/>
        <w:spacing w:before="0" w:after="0" w:line="288" w:lineRule="auto"/>
        <w:ind w:left="567" w:hanging="567"/>
        <w:rPr>
          <w:rFonts w:asciiTheme="minorHAnsi" w:hAnsiTheme="minorHAnsi" w:cstheme="minorHAnsi"/>
          <w:sz w:val="24"/>
        </w:rPr>
      </w:pPr>
      <w:r w:rsidRPr="00B43B65">
        <w:rPr>
          <w:rFonts w:ascii="Times New Roman" w:hAnsi="Times New Roman"/>
          <w:color w:val="auto"/>
          <w:sz w:val="24"/>
          <w:szCs w:val="24"/>
        </w:rPr>
        <w:t>3.</w:t>
      </w:r>
      <w:r w:rsidRPr="00B43B65">
        <w:rPr>
          <w:rFonts w:ascii="Times New Roman" w:hAnsi="Times New Roman"/>
          <w:b/>
          <w:color w:val="auto"/>
          <w:sz w:val="24"/>
          <w:szCs w:val="24"/>
        </w:rPr>
        <w:t xml:space="preserve"> </w:t>
      </w:r>
      <w:r w:rsidRPr="00B43B65">
        <w:rPr>
          <w:rFonts w:ascii="Times New Roman" w:hAnsi="Times New Roman"/>
          <w:b/>
          <w:color w:val="auto"/>
          <w:sz w:val="24"/>
          <w:szCs w:val="24"/>
        </w:rPr>
        <w:tab/>
      </w:r>
      <w:r w:rsidRPr="00B43B65">
        <w:rPr>
          <w:rFonts w:ascii="Times New Roman" w:hAnsi="Times New Roman"/>
          <w:b/>
          <w:color w:val="auto"/>
          <w:sz w:val="24"/>
        </w:rPr>
        <w:t>Druga področja politike in možnosti sodelovanja</w:t>
      </w:r>
    </w:p>
    <w:p w:rsidR="00E01D16" w:rsidRPr="00B43B65" w:rsidRDefault="00E01D16" w:rsidP="00B43B65">
      <w:pPr>
        <w:suppressAutoHyphens/>
        <w:spacing w:after="0" w:line="288" w:lineRule="auto"/>
        <w:rPr>
          <w:rFonts w:eastAsiaTheme="majorEastAsia"/>
        </w:rPr>
      </w:pPr>
    </w:p>
    <w:p w:rsidR="00E01D16" w:rsidRPr="00B43B65" w:rsidRDefault="00E01D16" w:rsidP="00B43B65">
      <w:pPr>
        <w:suppressAutoHyphens/>
        <w:spacing w:after="0" w:line="288" w:lineRule="auto"/>
        <w:rPr>
          <w:bCs/>
        </w:rPr>
      </w:pPr>
      <w:r w:rsidRPr="00B43B65">
        <w:t xml:space="preserve">Trenutno ima GD EMPL v načrtu </w:t>
      </w:r>
      <w:r w:rsidR="00B43B65" w:rsidRPr="00B43B65">
        <w:t>še več drugih pobud, kot so:</w:t>
      </w:r>
    </w:p>
    <w:p w:rsidR="007A1EBE" w:rsidRPr="00B43B65" w:rsidRDefault="007A1EBE" w:rsidP="00B43B65">
      <w:pPr>
        <w:suppressAutoHyphens/>
        <w:spacing w:after="0" w:line="288" w:lineRule="auto"/>
        <w:rPr>
          <w:bCs/>
        </w:rPr>
      </w:pPr>
    </w:p>
    <w:p w:rsidR="00457987" w:rsidRPr="00B43B65" w:rsidRDefault="007A1EBE" w:rsidP="00B43B65">
      <w:pPr>
        <w:pStyle w:val="ListParagraph"/>
        <w:numPr>
          <w:ilvl w:val="0"/>
          <w:numId w:val="33"/>
        </w:numPr>
        <w:suppressAutoHyphens/>
        <w:spacing w:after="0" w:line="288" w:lineRule="auto"/>
        <w:ind w:left="360"/>
        <w:jc w:val="both"/>
      </w:pPr>
      <w:r w:rsidRPr="00B43B65">
        <w:rPr>
          <w:rFonts w:ascii="Times New Roman" w:hAnsi="Times New Roman"/>
        </w:rPr>
        <w:t>akcijski načrt za socialno gospodarstvo, predviden za leto 2021. V okviru sodelovanja bi se lahko preučile dejavnosti na področjih socialne vključenosti, ustvarjanja delovnih mest, sektorja oskrbe (varstvo otrok in oskrba starejših), drugih socialnih storitev ter socialnih inovacij v socialni ekonomiji na regionalni in medregionalni ravni;</w:t>
      </w:r>
    </w:p>
    <w:p w:rsidR="00E01D16" w:rsidRPr="00B43B65" w:rsidRDefault="007A1EBE" w:rsidP="00B43B65">
      <w:pPr>
        <w:pStyle w:val="ListParagraph"/>
        <w:numPr>
          <w:ilvl w:val="0"/>
          <w:numId w:val="33"/>
        </w:numPr>
        <w:suppressAutoHyphens/>
        <w:spacing w:after="0" w:line="288" w:lineRule="auto"/>
        <w:ind w:left="360"/>
        <w:jc w:val="both"/>
      </w:pPr>
      <w:r w:rsidRPr="00B43B65">
        <w:rPr>
          <w:rFonts w:ascii="Times New Roman" w:hAnsi="Times New Roman"/>
        </w:rPr>
        <w:t>ustrezne minimalne plače v EU, v zvezi s katerimi je Komisija 28. oktobra 2020 predlagala okvirno direktivo;</w:t>
      </w:r>
    </w:p>
    <w:p w:rsidR="00E01D16" w:rsidRPr="00B43B65" w:rsidRDefault="007A1EBE" w:rsidP="00B43B65">
      <w:pPr>
        <w:pStyle w:val="ListParagraph"/>
        <w:numPr>
          <w:ilvl w:val="0"/>
          <w:numId w:val="33"/>
        </w:numPr>
        <w:suppressAutoHyphens/>
        <w:spacing w:after="0" w:line="288" w:lineRule="auto"/>
        <w:ind w:left="360"/>
        <w:jc w:val="both"/>
      </w:pPr>
      <w:r w:rsidRPr="00B43B65">
        <w:rPr>
          <w:rFonts w:ascii="Times New Roman" w:hAnsi="Times New Roman"/>
        </w:rPr>
        <w:t>delovni pogoji sezonskih delavcev, za katere je Komisija leta 2020 izdala smernice;</w:t>
      </w:r>
    </w:p>
    <w:p w:rsidR="00E01D16" w:rsidRPr="00B43B65" w:rsidRDefault="007A1EBE" w:rsidP="00B43B65">
      <w:pPr>
        <w:pStyle w:val="ListParagraph"/>
        <w:numPr>
          <w:ilvl w:val="0"/>
          <w:numId w:val="33"/>
        </w:numPr>
        <w:suppressAutoHyphens/>
        <w:spacing w:after="0" w:line="288" w:lineRule="auto"/>
        <w:ind w:left="360"/>
        <w:jc w:val="both"/>
      </w:pPr>
      <w:r w:rsidRPr="00B43B65">
        <w:rPr>
          <w:rFonts w:ascii="Times New Roman" w:hAnsi="Times New Roman"/>
        </w:rPr>
        <w:t>vidiki demografskih sprememb, ki spadajo v pristojnost GD EMPL.</w:t>
      </w:r>
    </w:p>
    <w:p w:rsidR="007A1EBE" w:rsidRPr="00B43B65" w:rsidRDefault="007A1EBE" w:rsidP="00B43B65">
      <w:pPr>
        <w:suppressAutoHyphens/>
        <w:spacing w:after="0" w:line="288" w:lineRule="auto"/>
      </w:pPr>
    </w:p>
    <w:p w:rsidR="00E01D16" w:rsidRPr="00B43B65" w:rsidRDefault="00E01D16" w:rsidP="00B43B65">
      <w:pPr>
        <w:suppressAutoHyphens/>
        <w:spacing w:after="0" w:line="288" w:lineRule="auto"/>
      </w:pPr>
      <w:r w:rsidRPr="00B43B65">
        <w:t>OR si bo prizadeval okrepiti posvetovanje z lokalnimi in regionalnimi oblastmi, da bi prispevali k tem ključnim področjem dela. Poleg tega si bosta OR in GD EMPL prizadevala okrepiti izmenjavo mnenj o teh temah.</w:t>
      </w:r>
    </w:p>
    <w:p w:rsidR="00E01D16" w:rsidRPr="00B43B65" w:rsidRDefault="00E01D16" w:rsidP="00B43B65">
      <w:pPr>
        <w:suppressAutoHyphens/>
        <w:spacing w:after="0" w:line="288" w:lineRule="auto"/>
      </w:pPr>
    </w:p>
    <w:p w:rsidR="003E36A3" w:rsidRPr="00B43B65" w:rsidRDefault="003E36A3" w:rsidP="00B43B65">
      <w:pPr>
        <w:suppressAutoHyphens/>
        <w:spacing w:after="0" w:line="288" w:lineRule="auto"/>
      </w:pPr>
      <w:r w:rsidRPr="00B43B65">
        <w:lastRenderedPageBreak/>
        <w:t>Za zagotovitev okrepljenega sodelovanja med OR in GD EMPL se lahko predvidijo naslednji dodatni ukrepi:</w:t>
      </w:r>
    </w:p>
    <w:p w:rsidR="005B2DC3" w:rsidRPr="00B43B65" w:rsidRDefault="005B2DC3" w:rsidP="00B43B65">
      <w:pPr>
        <w:suppressAutoHyphens/>
        <w:spacing w:after="0" w:line="288" w:lineRule="auto"/>
      </w:pPr>
    </w:p>
    <w:p w:rsidR="003E36A3" w:rsidRPr="00B43B65" w:rsidRDefault="007A1EBE" w:rsidP="00B43B65">
      <w:pPr>
        <w:pStyle w:val="ListParagraph"/>
        <w:numPr>
          <w:ilvl w:val="0"/>
          <w:numId w:val="17"/>
        </w:numPr>
        <w:suppressAutoHyphens/>
        <w:spacing w:after="0" w:line="288" w:lineRule="auto"/>
        <w:ind w:left="357" w:hanging="357"/>
        <w:jc w:val="both"/>
      </w:pPr>
      <w:r w:rsidRPr="00B43B65">
        <w:rPr>
          <w:rFonts w:ascii="Times New Roman" w:hAnsi="Times New Roman"/>
        </w:rPr>
        <w:t>redni politični dialog – na plenarnih zasedanjih OR in sejah komisije SEDEC;</w:t>
      </w:r>
    </w:p>
    <w:p w:rsidR="003E36A3" w:rsidRPr="00B43B65" w:rsidRDefault="007A1EBE" w:rsidP="00B43B65">
      <w:pPr>
        <w:pStyle w:val="ListParagraph"/>
        <w:numPr>
          <w:ilvl w:val="0"/>
          <w:numId w:val="17"/>
        </w:numPr>
        <w:suppressAutoHyphens/>
        <w:spacing w:after="0" w:line="288" w:lineRule="auto"/>
        <w:ind w:left="357" w:hanging="357"/>
        <w:jc w:val="both"/>
      </w:pPr>
      <w:r w:rsidRPr="00B43B65">
        <w:rPr>
          <w:rFonts w:ascii="Times New Roman" w:hAnsi="Times New Roman"/>
        </w:rPr>
        <w:t>razmislek o sodelovanju članov OR in poročevalcev na konferencah in dogodkih, ki jih organizira GD EMPL, kjer lokalna in regionalna perspektiva prinašata dodano vrednost;</w:t>
      </w:r>
    </w:p>
    <w:p w:rsidR="003E36A3" w:rsidRPr="00B43B65" w:rsidRDefault="007A1EBE" w:rsidP="00B43B65">
      <w:pPr>
        <w:pStyle w:val="ListParagraph"/>
        <w:numPr>
          <w:ilvl w:val="0"/>
          <w:numId w:val="17"/>
        </w:numPr>
        <w:suppressAutoHyphens/>
        <w:spacing w:after="0" w:line="288" w:lineRule="auto"/>
        <w:ind w:left="357" w:hanging="357"/>
        <w:jc w:val="both"/>
      </w:pPr>
      <w:r w:rsidRPr="00B43B65">
        <w:rPr>
          <w:rFonts w:ascii="Times New Roman" w:hAnsi="Times New Roman"/>
        </w:rPr>
        <w:t>na zahtevo obveščanje članov OR o razpoložljivih sredstvih in politični podpori EU, da bi pokazali, kako lahko EU pomaga regijam in mestom pri zelenem in digitalnem prehodu;</w:t>
      </w:r>
    </w:p>
    <w:p w:rsidR="002E7C63" w:rsidRPr="00B43B65" w:rsidRDefault="007A1EBE" w:rsidP="00B43B65">
      <w:pPr>
        <w:pStyle w:val="ListParagraph"/>
        <w:numPr>
          <w:ilvl w:val="0"/>
          <w:numId w:val="17"/>
        </w:numPr>
        <w:suppressAutoHyphens/>
        <w:spacing w:after="0" w:line="288" w:lineRule="auto"/>
        <w:ind w:left="357" w:hanging="357"/>
        <w:jc w:val="both"/>
      </w:pPr>
      <w:r w:rsidRPr="00B43B65">
        <w:rPr>
          <w:rFonts w:ascii="Times New Roman" w:hAnsi="Times New Roman"/>
        </w:rPr>
        <w:t>preučitev skupnih komunikacijskih ukrepov, kadar je to primerno;</w:t>
      </w:r>
    </w:p>
    <w:p w:rsidR="006D7CA9" w:rsidRPr="00B43B65" w:rsidRDefault="007A1EBE" w:rsidP="00B43B65">
      <w:pPr>
        <w:pStyle w:val="ListParagraph"/>
        <w:numPr>
          <w:ilvl w:val="0"/>
          <w:numId w:val="17"/>
        </w:numPr>
        <w:suppressAutoHyphens/>
        <w:spacing w:after="0" w:line="288" w:lineRule="auto"/>
        <w:ind w:left="357" w:hanging="357"/>
        <w:jc w:val="both"/>
      </w:pPr>
      <w:r w:rsidRPr="00B43B65">
        <w:t>preučitev sinergij s pobudami drugih generalnih direktoratov, kot je partnerstvo tematske platforme za modernizacijo industrije S3 na področju socialne ekonomije (</w:t>
      </w:r>
      <w:hyperlink r:id="rId15" w:history="1">
        <w:r w:rsidRPr="00B43B65">
          <w:rPr>
            <w:rStyle w:val="Hyperlink"/>
            <w:rFonts w:ascii="Times New Roman" w:hAnsi="Times New Roman"/>
          </w:rPr>
          <w:t>https://s3platform.jrc.ec.europa.eu/social-economy</w:t>
        </w:r>
      </w:hyperlink>
      <w:r w:rsidRPr="00B43B65">
        <w:t>).</w:t>
      </w:r>
    </w:p>
    <w:p w:rsidR="006D7CA9" w:rsidRPr="00B43B65" w:rsidRDefault="006D7CA9" w:rsidP="00B43B65">
      <w:pPr>
        <w:suppressAutoHyphens/>
        <w:spacing w:after="0" w:line="288" w:lineRule="auto"/>
      </w:pPr>
    </w:p>
    <w:p w:rsidR="006D7CA9" w:rsidRPr="00B43B65" w:rsidRDefault="0068468C" w:rsidP="00B43B65">
      <w:pPr>
        <w:pStyle w:val="Heading1"/>
        <w:keepNext w:val="0"/>
        <w:keepLines w:val="0"/>
        <w:suppressAutoHyphens/>
        <w:spacing w:before="0" w:after="0" w:line="288" w:lineRule="auto"/>
        <w:rPr>
          <w:rFonts w:ascii="Times New Roman" w:eastAsia="Times New Roman" w:hAnsi="Times New Roman" w:cs="Times New Roman"/>
          <w:b/>
          <w:color w:val="000000" w:themeColor="text1"/>
          <w:sz w:val="24"/>
          <w:szCs w:val="24"/>
        </w:rPr>
      </w:pPr>
      <w:r w:rsidRPr="00B43B65">
        <w:rPr>
          <w:rFonts w:ascii="Times New Roman" w:hAnsi="Times New Roman"/>
          <w:color w:val="000000" w:themeColor="text1"/>
          <w:sz w:val="24"/>
          <w:szCs w:val="24"/>
        </w:rPr>
        <w:t>4.</w:t>
      </w:r>
      <w:r w:rsidRPr="00B43B65">
        <w:rPr>
          <w:rFonts w:ascii="Times New Roman" w:hAnsi="Times New Roman"/>
          <w:b/>
          <w:color w:val="000000" w:themeColor="text1"/>
          <w:sz w:val="24"/>
          <w:szCs w:val="24"/>
        </w:rPr>
        <w:t xml:space="preserve"> </w:t>
      </w:r>
      <w:r w:rsidRPr="00B43B65">
        <w:rPr>
          <w:rFonts w:ascii="Times New Roman" w:hAnsi="Times New Roman"/>
          <w:b/>
          <w:color w:val="000000" w:themeColor="text1"/>
          <w:sz w:val="24"/>
          <w:szCs w:val="24"/>
        </w:rPr>
        <w:tab/>
        <w:t>Prihodnji ukrepi</w:t>
      </w:r>
    </w:p>
    <w:p w:rsidR="006D7CA9" w:rsidRPr="00B43B65" w:rsidRDefault="006D7CA9" w:rsidP="00B43B65">
      <w:pPr>
        <w:suppressAutoHyphens/>
        <w:spacing w:after="0" w:line="288" w:lineRule="auto"/>
      </w:pPr>
    </w:p>
    <w:p w:rsidR="000F448C" w:rsidRPr="00B43B65" w:rsidRDefault="00DC0DF4" w:rsidP="00B43B65">
      <w:pPr>
        <w:suppressAutoHyphens/>
        <w:spacing w:after="0" w:line="288" w:lineRule="auto"/>
        <w:jc w:val="both"/>
      </w:pPr>
      <w:r w:rsidRPr="00B43B65">
        <w:t>GD EMPL in OR bosta imenovala kontaktne osebe za opredelitev koncepta in načinov izvajanja evropskih lokalnih borz dela ter za zagotovitev nemotenega sodelovanja in usklajevanja ukrepov na upravni ravni.</w:t>
      </w:r>
    </w:p>
    <w:sectPr w:rsidR="000F448C" w:rsidRPr="00B43B65" w:rsidSect="003831AE">
      <w:footerReference w:type="default" r:id="rId16"/>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84" w:rsidRDefault="00683784" w:rsidP="007E71D2">
      <w:pPr>
        <w:spacing w:line="240" w:lineRule="auto"/>
      </w:pPr>
      <w:r>
        <w:separator/>
      </w:r>
    </w:p>
  </w:endnote>
  <w:endnote w:type="continuationSeparator" w:id="0">
    <w:p w:rsidR="00683784" w:rsidRDefault="00683784" w:rsidP="007E71D2">
      <w:pPr>
        <w:spacing w:line="240" w:lineRule="auto"/>
      </w:pPr>
      <w:r>
        <w:continuationSeparator/>
      </w:r>
    </w:p>
  </w:endnote>
  <w:endnote w:type="continuationNotice" w:id="1">
    <w:p w:rsidR="00683784" w:rsidRDefault="00683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22340"/>
      <w:docPartObj>
        <w:docPartGallery w:val="Page Numbers (Bottom of Page)"/>
        <w:docPartUnique/>
      </w:docPartObj>
    </w:sdtPr>
    <w:sdtEndPr>
      <w:rPr>
        <w:noProof/>
      </w:rPr>
    </w:sdtEndPr>
    <w:sdtContent>
      <w:p w:rsidR="00EB2F01" w:rsidRDefault="00EB2F01" w:rsidP="007D6282">
        <w:pPr>
          <w:pStyle w:val="Footer"/>
          <w:jc w:val="center"/>
        </w:pPr>
        <w:r>
          <w:fldChar w:fldCharType="begin"/>
        </w:r>
        <w:r>
          <w:instrText xml:space="preserve"> PAGE   \* MERGEFORMAT </w:instrText>
        </w:r>
        <w:r>
          <w:fldChar w:fldCharType="separate"/>
        </w:r>
        <w:r w:rsidR="008464DC">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84" w:rsidRDefault="00683784" w:rsidP="007E71D2">
      <w:pPr>
        <w:spacing w:line="240" w:lineRule="auto"/>
      </w:pPr>
      <w:r>
        <w:separator/>
      </w:r>
    </w:p>
  </w:footnote>
  <w:footnote w:type="continuationSeparator" w:id="0">
    <w:p w:rsidR="00683784" w:rsidRDefault="00683784" w:rsidP="007E71D2">
      <w:pPr>
        <w:spacing w:line="240" w:lineRule="auto"/>
      </w:pPr>
      <w:r>
        <w:continuationSeparator/>
      </w:r>
    </w:p>
  </w:footnote>
  <w:footnote w:type="continuationNotice" w:id="1">
    <w:p w:rsidR="00683784" w:rsidRDefault="00683784">
      <w:pPr>
        <w:spacing w:line="240" w:lineRule="auto"/>
      </w:pPr>
    </w:p>
  </w:footnote>
  <w:footnote w:id="2">
    <w:p w:rsidR="00EB2F01" w:rsidRPr="007D6282" w:rsidRDefault="00EB2F01" w:rsidP="00C82EBC">
      <w:pPr>
        <w:pStyle w:val="FootnoteText"/>
        <w:tabs>
          <w:tab w:val="left" w:pos="567"/>
        </w:tabs>
        <w:rPr>
          <w:sz w:val="16"/>
          <w:szCs w:val="16"/>
        </w:rPr>
      </w:pPr>
      <w:r>
        <w:rPr>
          <w:rStyle w:val="FootnoteReference"/>
          <w:sz w:val="24"/>
          <w:szCs w:val="24"/>
        </w:rPr>
        <w:footnoteRef/>
      </w:r>
      <w:r>
        <w:t xml:space="preserve"> </w:t>
      </w:r>
      <w:r>
        <w:tab/>
      </w:r>
      <w:hyperlink r:id="rId1" w:history="1">
        <w:r>
          <w:rPr>
            <w:rStyle w:val="Hyperlink"/>
            <w:sz w:val="16"/>
            <w:szCs w:val="16"/>
          </w:rPr>
          <w:t>https://ec.europa.eu/commission/sites/beta-political/files/reflection-paper-social-dimension-europe_sl.pdf</w:t>
        </w:r>
      </w:hyperlink>
    </w:p>
  </w:footnote>
  <w:footnote w:id="3">
    <w:p w:rsidR="00EB2F01" w:rsidRPr="007D6282" w:rsidRDefault="00EB2F01" w:rsidP="007D6282">
      <w:pPr>
        <w:pStyle w:val="FootnoteText"/>
        <w:tabs>
          <w:tab w:val="left" w:pos="567"/>
        </w:tabs>
        <w:rPr>
          <w:sz w:val="16"/>
          <w:szCs w:val="16"/>
        </w:rPr>
      </w:pPr>
      <w:r>
        <w:rPr>
          <w:rStyle w:val="FootnoteReference"/>
          <w:sz w:val="24"/>
          <w:szCs w:val="24"/>
        </w:rPr>
        <w:footnoteRef/>
      </w:r>
      <w:r>
        <w:t xml:space="preserve"> </w:t>
      </w:r>
      <w:r>
        <w:tab/>
      </w:r>
      <w:hyperlink r:id="rId2" w:history="1">
        <w:r>
          <w:rPr>
            <w:rStyle w:val="Hyperlink"/>
            <w:sz w:val="16"/>
            <w:szCs w:val="16"/>
          </w:rPr>
          <w:t>https://eur-lex.europa.eu/LexUriServ/LexUriServ.do?uri=OJ:C:2012:102:0006:0010:SL:PDF</w:t>
        </w:r>
      </w:hyperlink>
    </w:p>
  </w:footnote>
  <w:footnote w:id="4">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COM(2020) 447 final.</w:t>
      </w:r>
    </w:p>
  </w:footnote>
  <w:footnote w:id="5">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rStyle w:val="FootnoteReference"/>
          <w:sz w:val="24"/>
          <w:szCs w:val="24"/>
        </w:rPr>
        <w:t xml:space="preserve"> </w:t>
      </w:r>
      <w:r>
        <w:rPr>
          <w:sz w:val="16"/>
          <w:szCs w:val="16"/>
        </w:rPr>
        <w:tab/>
        <w:t>Komisija je v Sporočilu z naslovom Podpiranje zaposlovanja mladih: most do delovnih mest za naslednjo generacijo (COM(2020) 276 final) države članice pozvala, naj okrepijo podporo zaposlovanju mladih in povečajo raven podpore temu cilju v primerjavi z obdobjem financiranja 2014–2020, ki je ocenjeno na 22 milijard EUR.</w:t>
      </w:r>
    </w:p>
  </w:footnote>
  <w:footnote w:id="6">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t xml:space="preserve"> </w:t>
      </w:r>
      <w:r>
        <w:tab/>
        <w:t>Priporočilo Sveta z naslovom Most do delovnih mest – okrepitev jamstva za mlade, o katerem je Svet dosegel politični dogovor, bo sprejeto še pred koncem leta 2020.</w:t>
      </w:r>
    </w:p>
  </w:footnote>
  <w:footnote w:id="7">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 xml:space="preserve">COM(2020) 276 final. </w:t>
      </w:r>
    </w:p>
  </w:footnote>
  <w:footnote w:id="8">
    <w:p w:rsidR="002867F1" w:rsidRPr="007D6282" w:rsidRDefault="002867F1">
      <w:pPr>
        <w:pStyle w:val="FootnoteText"/>
        <w:rPr>
          <w:sz w:val="16"/>
          <w:szCs w:val="16"/>
        </w:rPr>
      </w:pPr>
      <w:r>
        <w:rPr>
          <w:rStyle w:val="FootnoteReference"/>
          <w:sz w:val="24"/>
          <w:szCs w:val="24"/>
        </w:rPr>
        <w:footnoteRef/>
      </w:r>
      <w:r>
        <w:t xml:space="preserve"> </w:t>
      </w:r>
      <w:r>
        <w:tab/>
      </w:r>
      <w:r>
        <w:rPr>
          <w:sz w:val="16"/>
          <w:szCs w:val="16"/>
        </w:rPr>
        <w:t>COM(2020) 274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1C97EA"/>
    <w:lvl w:ilvl="0">
      <w:start w:val="1"/>
      <w:numFmt w:val="decimal"/>
      <w:lvlText w:val="%1."/>
      <w:legacy w:legacy="1" w:legacySpace="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44" w:legacyIndent="0"/>
      <w:lvlJc w:val="left"/>
      <w:rPr>
        <w:b w:val="0"/>
      </w:r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A460E"/>
    <w:multiLevelType w:val="multilevel"/>
    <w:tmpl w:val="3C8AE098"/>
    <w:lvl w:ilvl="0">
      <w:start w:val="1"/>
      <w:numFmt w:val="decimal"/>
      <w:lvlText w:val="%1."/>
      <w:lvlJc w:val="left"/>
      <w:pPr>
        <w:ind w:left="360" w:hanging="360"/>
      </w:pPr>
      <w:rPr>
        <w:rFonts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8"/>
  </w:num>
  <w:num w:numId="4">
    <w:abstractNumId w:val="13"/>
  </w:num>
  <w:num w:numId="5">
    <w:abstractNumId w:val="31"/>
  </w:num>
  <w:num w:numId="6">
    <w:abstractNumId w:val="9"/>
  </w:num>
  <w:num w:numId="7">
    <w:abstractNumId w:val="8"/>
  </w:num>
  <w:num w:numId="8">
    <w:abstractNumId w:val="40"/>
  </w:num>
  <w:num w:numId="9">
    <w:abstractNumId w:val="15"/>
  </w:num>
  <w:num w:numId="10">
    <w:abstractNumId w:val="3"/>
  </w:num>
  <w:num w:numId="11">
    <w:abstractNumId w:val="30"/>
  </w:num>
  <w:num w:numId="12">
    <w:abstractNumId w:val="14"/>
  </w:num>
  <w:num w:numId="13">
    <w:abstractNumId w:val="36"/>
  </w:num>
  <w:num w:numId="14">
    <w:abstractNumId w:val="27"/>
  </w:num>
  <w:num w:numId="15">
    <w:abstractNumId w:val="2"/>
  </w:num>
  <w:num w:numId="16">
    <w:abstractNumId w:val="22"/>
  </w:num>
  <w:num w:numId="17">
    <w:abstractNumId w:val="12"/>
  </w:num>
  <w:num w:numId="18">
    <w:abstractNumId w:val="25"/>
  </w:num>
  <w:num w:numId="19">
    <w:abstractNumId w:val="20"/>
  </w:num>
  <w:num w:numId="20">
    <w:abstractNumId w:val="23"/>
  </w:num>
  <w:num w:numId="21">
    <w:abstractNumId w:val="21"/>
  </w:num>
  <w:num w:numId="22">
    <w:abstractNumId w:val="34"/>
  </w:num>
  <w:num w:numId="23">
    <w:abstractNumId w:val="5"/>
  </w:num>
  <w:num w:numId="24">
    <w:abstractNumId w:val="16"/>
  </w:num>
  <w:num w:numId="25">
    <w:abstractNumId w:val="17"/>
  </w:num>
  <w:num w:numId="26">
    <w:abstractNumId w:val="35"/>
  </w:num>
  <w:num w:numId="27">
    <w:abstractNumId w:val="11"/>
  </w:num>
  <w:num w:numId="28">
    <w:abstractNumId w:val="26"/>
  </w:num>
  <w:num w:numId="29">
    <w:abstractNumId w:val="33"/>
  </w:num>
  <w:num w:numId="30">
    <w:abstractNumId w:val="32"/>
  </w:num>
  <w:num w:numId="31">
    <w:abstractNumId w:val="7"/>
  </w:num>
  <w:num w:numId="32">
    <w:abstractNumId w:val="38"/>
  </w:num>
  <w:num w:numId="33">
    <w:abstractNumId w:val="29"/>
  </w:num>
  <w:num w:numId="34">
    <w:abstractNumId w:val="24"/>
  </w:num>
  <w:num w:numId="35">
    <w:abstractNumId w:val="28"/>
  </w:num>
  <w:num w:numId="36">
    <w:abstractNumId w:val="41"/>
  </w:num>
  <w:num w:numId="37">
    <w:abstractNumId w:val="6"/>
  </w:num>
  <w:num w:numId="38">
    <w:abstractNumId w:val="37"/>
  </w:num>
  <w:num w:numId="39">
    <w:abstractNumId w:val="39"/>
  </w:num>
  <w:num w:numId="40">
    <w:abstractNumId w:val="19"/>
  </w:num>
  <w:num w:numId="41">
    <w:abstractNumId w:val="10"/>
  </w:num>
  <w:num w:numId="42">
    <w:abstractNumId w:val="4"/>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399B"/>
    <w:rsid w:val="00025C0A"/>
    <w:rsid w:val="00032B76"/>
    <w:rsid w:val="00034B02"/>
    <w:rsid w:val="00041D24"/>
    <w:rsid w:val="00046905"/>
    <w:rsid w:val="0005130E"/>
    <w:rsid w:val="00052C63"/>
    <w:rsid w:val="00052CB0"/>
    <w:rsid w:val="00053254"/>
    <w:rsid w:val="00053923"/>
    <w:rsid w:val="0005456E"/>
    <w:rsid w:val="00067F05"/>
    <w:rsid w:val="00081341"/>
    <w:rsid w:val="00092FB6"/>
    <w:rsid w:val="000938C4"/>
    <w:rsid w:val="000A0D57"/>
    <w:rsid w:val="000A676E"/>
    <w:rsid w:val="000A7400"/>
    <w:rsid w:val="000B6015"/>
    <w:rsid w:val="000B6528"/>
    <w:rsid w:val="000D7781"/>
    <w:rsid w:val="000F034A"/>
    <w:rsid w:val="000F3666"/>
    <w:rsid w:val="000F448C"/>
    <w:rsid w:val="00100433"/>
    <w:rsid w:val="00122601"/>
    <w:rsid w:val="001303C7"/>
    <w:rsid w:val="00131BAD"/>
    <w:rsid w:val="00133C10"/>
    <w:rsid w:val="00135709"/>
    <w:rsid w:val="00141B6A"/>
    <w:rsid w:val="001508E5"/>
    <w:rsid w:val="00150CCB"/>
    <w:rsid w:val="00151730"/>
    <w:rsid w:val="00161FA6"/>
    <w:rsid w:val="00162E43"/>
    <w:rsid w:val="00164507"/>
    <w:rsid w:val="00164C40"/>
    <w:rsid w:val="00165C5A"/>
    <w:rsid w:val="00170B9B"/>
    <w:rsid w:val="00176CAE"/>
    <w:rsid w:val="0018679E"/>
    <w:rsid w:val="00192316"/>
    <w:rsid w:val="00194608"/>
    <w:rsid w:val="001A2814"/>
    <w:rsid w:val="001A2928"/>
    <w:rsid w:val="001A2D75"/>
    <w:rsid w:val="001B3DE5"/>
    <w:rsid w:val="001B62E2"/>
    <w:rsid w:val="001C24E4"/>
    <w:rsid w:val="001C2739"/>
    <w:rsid w:val="001D1C58"/>
    <w:rsid w:val="001D49B1"/>
    <w:rsid w:val="001D6B54"/>
    <w:rsid w:val="001D7401"/>
    <w:rsid w:val="001E18B4"/>
    <w:rsid w:val="001F20A4"/>
    <w:rsid w:val="00202FA0"/>
    <w:rsid w:val="00206C91"/>
    <w:rsid w:val="00207F48"/>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C2A13"/>
    <w:rsid w:val="002D435E"/>
    <w:rsid w:val="002D4474"/>
    <w:rsid w:val="002D687E"/>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B12A8"/>
    <w:rsid w:val="003C1C84"/>
    <w:rsid w:val="003C2756"/>
    <w:rsid w:val="003C6A76"/>
    <w:rsid w:val="003D208F"/>
    <w:rsid w:val="003D64D4"/>
    <w:rsid w:val="003E0FE7"/>
    <w:rsid w:val="003E36A3"/>
    <w:rsid w:val="003F310F"/>
    <w:rsid w:val="00416589"/>
    <w:rsid w:val="00416F28"/>
    <w:rsid w:val="00421A56"/>
    <w:rsid w:val="00422DE3"/>
    <w:rsid w:val="00455FAA"/>
    <w:rsid w:val="00457987"/>
    <w:rsid w:val="004672CD"/>
    <w:rsid w:val="00467B9B"/>
    <w:rsid w:val="00474C1C"/>
    <w:rsid w:val="004817E9"/>
    <w:rsid w:val="00483C2D"/>
    <w:rsid w:val="0049793A"/>
    <w:rsid w:val="004A63B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3C75"/>
    <w:rsid w:val="00527019"/>
    <w:rsid w:val="005366D6"/>
    <w:rsid w:val="00541BE3"/>
    <w:rsid w:val="00542BFC"/>
    <w:rsid w:val="00544F9B"/>
    <w:rsid w:val="00545845"/>
    <w:rsid w:val="00546AEC"/>
    <w:rsid w:val="00551DF1"/>
    <w:rsid w:val="00557917"/>
    <w:rsid w:val="005708AD"/>
    <w:rsid w:val="00574134"/>
    <w:rsid w:val="005810D1"/>
    <w:rsid w:val="00583165"/>
    <w:rsid w:val="00591229"/>
    <w:rsid w:val="005977FF"/>
    <w:rsid w:val="00597990"/>
    <w:rsid w:val="005A4DE6"/>
    <w:rsid w:val="005B2DC3"/>
    <w:rsid w:val="005B3884"/>
    <w:rsid w:val="005C55D6"/>
    <w:rsid w:val="005D06A9"/>
    <w:rsid w:val="005D5EB3"/>
    <w:rsid w:val="005E422E"/>
    <w:rsid w:val="00600069"/>
    <w:rsid w:val="00601828"/>
    <w:rsid w:val="006106B7"/>
    <w:rsid w:val="0062568E"/>
    <w:rsid w:val="00637313"/>
    <w:rsid w:val="006475F5"/>
    <w:rsid w:val="00651753"/>
    <w:rsid w:val="00662DAD"/>
    <w:rsid w:val="00680D0A"/>
    <w:rsid w:val="00683784"/>
    <w:rsid w:val="0068468C"/>
    <w:rsid w:val="00685424"/>
    <w:rsid w:val="00690EA1"/>
    <w:rsid w:val="006A0A27"/>
    <w:rsid w:val="006A3AC8"/>
    <w:rsid w:val="006A6308"/>
    <w:rsid w:val="006C313B"/>
    <w:rsid w:val="006C7232"/>
    <w:rsid w:val="006D03C7"/>
    <w:rsid w:val="006D7CA9"/>
    <w:rsid w:val="006E239E"/>
    <w:rsid w:val="006E25E8"/>
    <w:rsid w:val="006E2F96"/>
    <w:rsid w:val="006E637D"/>
    <w:rsid w:val="006F05D5"/>
    <w:rsid w:val="006F1412"/>
    <w:rsid w:val="00707604"/>
    <w:rsid w:val="00713D60"/>
    <w:rsid w:val="0072116E"/>
    <w:rsid w:val="00721DAE"/>
    <w:rsid w:val="0072285A"/>
    <w:rsid w:val="00727544"/>
    <w:rsid w:val="00733ED3"/>
    <w:rsid w:val="0073453E"/>
    <w:rsid w:val="00735CF1"/>
    <w:rsid w:val="0074046E"/>
    <w:rsid w:val="00760515"/>
    <w:rsid w:val="007753DD"/>
    <w:rsid w:val="00777281"/>
    <w:rsid w:val="00777E8D"/>
    <w:rsid w:val="007905B1"/>
    <w:rsid w:val="007923D6"/>
    <w:rsid w:val="00795798"/>
    <w:rsid w:val="007A1EBE"/>
    <w:rsid w:val="007A4C60"/>
    <w:rsid w:val="007C4B51"/>
    <w:rsid w:val="007D5468"/>
    <w:rsid w:val="007D6282"/>
    <w:rsid w:val="007D78B0"/>
    <w:rsid w:val="007E1479"/>
    <w:rsid w:val="007E71D2"/>
    <w:rsid w:val="007F06FE"/>
    <w:rsid w:val="007F2CBE"/>
    <w:rsid w:val="00802BB6"/>
    <w:rsid w:val="00812835"/>
    <w:rsid w:val="00813159"/>
    <w:rsid w:val="00813175"/>
    <w:rsid w:val="0081584B"/>
    <w:rsid w:val="00816F4D"/>
    <w:rsid w:val="00824102"/>
    <w:rsid w:val="0082432A"/>
    <w:rsid w:val="008334CE"/>
    <w:rsid w:val="00834904"/>
    <w:rsid w:val="00843D2C"/>
    <w:rsid w:val="00844255"/>
    <w:rsid w:val="008464DC"/>
    <w:rsid w:val="00862342"/>
    <w:rsid w:val="00864E4E"/>
    <w:rsid w:val="008707AC"/>
    <w:rsid w:val="0087706E"/>
    <w:rsid w:val="008839C1"/>
    <w:rsid w:val="008911F1"/>
    <w:rsid w:val="00892F78"/>
    <w:rsid w:val="0089643A"/>
    <w:rsid w:val="008B149E"/>
    <w:rsid w:val="008C0E34"/>
    <w:rsid w:val="008C4469"/>
    <w:rsid w:val="008D2AB3"/>
    <w:rsid w:val="008D4711"/>
    <w:rsid w:val="008D5638"/>
    <w:rsid w:val="008E118B"/>
    <w:rsid w:val="008F79F2"/>
    <w:rsid w:val="00900A36"/>
    <w:rsid w:val="009049AD"/>
    <w:rsid w:val="00905E0B"/>
    <w:rsid w:val="00913EFC"/>
    <w:rsid w:val="0092426C"/>
    <w:rsid w:val="009243B3"/>
    <w:rsid w:val="00934DE3"/>
    <w:rsid w:val="009521C5"/>
    <w:rsid w:val="009556D1"/>
    <w:rsid w:val="00955CC3"/>
    <w:rsid w:val="00956A7E"/>
    <w:rsid w:val="0096073F"/>
    <w:rsid w:val="00963831"/>
    <w:rsid w:val="00963907"/>
    <w:rsid w:val="00963CAE"/>
    <w:rsid w:val="00964812"/>
    <w:rsid w:val="00966530"/>
    <w:rsid w:val="00975F99"/>
    <w:rsid w:val="00980663"/>
    <w:rsid w:val="009A26F3"/>
    <w:rsid w:val="009A3B0A"/>
    <w:rsid w:val="009A6986"/>
    <w:rsid w:val="009B4D06"/>
    <w:rsid w:val="009D4BA6"/>
    <w:rsid w:val="009D61A0"/>
    <w:rsid w:val="009E1D16"/>
    <w:rsid w:val="009F12EC"/>
    <w:rsid w:val="009F651C"/>
    <w:rsid w:val="00A01F44"/>
    <w:rsid w:val="00A10939"/>
    <w:rsid w:val="00A1673A"/>
    <w:rsid w:val="00A22BE1"/>
    <w:rsid w:val="00A22F3A"/>
    <w:rsid w:val="00A23EB5"/>
    <w:rsid w:val="00A26CF2"/>
    <w:rsid w:val="00A27344"/>
    <w:rsid w:val="00A3011E"/>
    <w:rsid w:val="00A31CB4"/>
    <w:rsid w:val="00A3420D"/>
    <w:rsid w:val="00A374F6"/>
    <w:rsid w:val="00A438B4"/>
    <w:rsid w:val="00A44404"/>
    <w:rsid w:val="00A44C00"/>
    <w:rsid w:val="00A571FB"/>
    <w:rsid w:val="00A60CBD"/>
    <w:rsid w:val="00A627FF"/>
    <w:rsid w:val="00A6794C"/>
    <w:rsid w:val="00AA0A34"/>
    <w:rsid w:val="00AC32BD"/>
    <w:rsid w:val="00AE25ED"/>
    <w:rsid w:val="00AE28C2"/>
    <w:rsid w:val="00AF2098"/>
    <w:rsid w:val="00AF3183"/>
    <w:rsid w:val="00B00737"/>
    <w:rsid w:val="00B106AE"/>
    <w:rsid w:val="00B2663E"/>
    <w:rsid w:val="00B322C0"/>
    <w:rsid w:val="00B34D34"/>
    <w:rsid w:val="00B40809"/>
    <w:rsid w:val="00B439B5"/>
    <w:rsid w:val="00B43B65"/>
    <w:rsid w:val="00B64CF9"/>
    <w:rsid w:val="00B65A9B"/>
    <w:rsid w:val="00B7123C"/>
    <w:rsid w:val="00B82791"/>
    <w:rsid w:val="00B84141"/>
    <w:rsid w:val="00B84E8E"/>
    <w:rsid w:val="00B8537F"/>
    <w:rsid w:val="00B85A43"/>
    <w:rsid w:val="00B8636D"/>
    <w:rsid w:val="00B8680B"/>
    <w:rsid w:val="00B87B5D"/>
    <w:rsid w:val="00B9336C"/>
    <w:rsid w:val="00BA1F92"/>
    <w:rsid w:val="00BB1B45"/>
    <w:rsid w:val="00BB2C93"/>
    <w:rsid w:val="00BB429C"/>
    <w:rsid w:val="00BB7CA9"/>
    <w:rsid w:val="00BC2F4F"/>
    <w:rsid w:val="00BC4DFB"/>
    <w:rsid w:val="00BD1A92"/>
    <w:rsid w:val="00BD5B75"/>
    <w:rsid w:val="00BE04A0"/>
    <w:rsid w:val="00BE4728"/>
    <w:rsid w:val="00BE4BA0"/>
    <w:rsid w:val="00C01120"/>
    <w:rsid w:val="00C01839"/>
    <w:rsid w:val="00C041EB"/>
    <w:rsid w:val="00C06CC1"/>
    <w:rsid w:val="00C06DC9"/>
    <w:rsid w:val="00C075AB"/>
    <w:rsid w:val="00C20C91"/>
    <w:rsid w:val="00C318C3"/>
    <w:rsid w:val="00C34231"/>
    <w:rsid w:val="00C35ACB"/>
    <w:rsid w:val="00C51CDC"/>
    <w:rsid w:val="00C608E8"/>
    <w:rsid w:val="00C62953"/>
    <w:rsid w:val="00C641F3"/>
    <w:rsid w:val="00C66625"/>
    <w:rsid w:val="00C6742B"/>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21912"/>
    <w:rsid w:val="00D23217"/>
    <w:rsid w:val="00D2347B"/>
    <w:rsid w:val="00D30FFF"/>
    <w:rsid w:val="00D42921"/>
    <w:rsid w:val="00D46EE1"/>
    <w:rsid w:val="00D50C3F"/>
    <w:rsid w:val="00D60C7D"/>
    <w:rsid w:val="00D62509"/>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F7306"/>
    <w:rsid w:val="00E01C1B"/>
    <w:rsid w:val="00E01D16"/>
    <w:rsid w:val="00E02AB5"/>
    <w:rsid w:val="00E040F8"/>
    <w:rsid w:val="00E0617C"/>
    <w:rsid w:val="00E12B0B"/>
    <w:rsid w:val="00E136C4"/>
    <w:rsid w:val="00E15129"/>
    <w:rsid w:val="00E1591B"/>
    <w:rsid w:val="00E35306"/>
    <w:rsid w:val="00E3553B"/>
    <w:rsid w:val="00E416E1"/>
    <w:rsid w:val="00E437FD"/>
    <w:rsid w:val="00E44082"/>
    <w:rsid w:val="00E46B57"/>
    <w:rsid w:val="00E555CA"/>
    <w:rsid w:val="00E56486"/>
    <w:rsid w:val="00E6624D"/>
    <w:rsid w:val="00E70070"/>
    <w:rsid w:val="00E83696"/>
    <w:rsid w:val="00E92E7E"/>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65DD"/>
    <w:rsid w:val="00F2366F"/>
    <w:rsid w:val="00F32EC7"/>
    <w:rsid w:val="00F34D21"/>
    <w:rsid w:val="00F37A45"/>
    <w:rsid w:val="00F416B5"/>
    <w:rsid w:val="00F5129F"/>
    <w:rsid w:val="00F52BD7"/>
    <w:rsid w:val="00F56CB3"/>
    <w:rsid w:val="00F603F6"/>
    <w:rsid w:val="00F771E0"/>
    <w:rsid w:val="00F84647"/>
    <w:rsid w:val="00FA14B4"/>
    <w:rsid w:val="00FA2335"/>
    <w:rsid w:val="00FA4BF5"/>
    <w:rsid w:val="00FB2486"/>
    <w:rsid w:val="00FB5AB4"/>
    <w:rsid w:val="00FD5044"/>
    <w:rsid w:val="00FE1A83"/>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F961329"/>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647"/>
    <w:pPr>
      <w:spacing w:after="160" w:line="259" w:lineRule="auto"/>
    </w:pPr>
  </w:style>
  <w:style w:type="paragraph" w:styleId="Heading1">
    <w:name w:val="heading 1"/>
    <w:basedOn w:val="Normal"/>
    <w:next w:val="Normal"/>
    <w:link w:val="Heading1Char"/>
    <w:qFormat/>
    <w:rsid w:val="006837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83784"/>
    <w:pPr>
      <w:outlineLvl w:val="1"/>
    </w:pPr>
  </w:style>
  <w:style w:type="paragraph" w:styleId="Heading3">
    <w:name w:val="heading 3"/>
    <w:basedOn w:val="Normal"/>
    <w:next w:val="Normal"/>
    <w:link w:val="Heading3Char"/>
    <w:qFormat/>
    <w:rsid w:val="00683784"/>
    <w:pPr>
      <w:outlineLvl w:val="2"/>
    </w:pPr>
  </w:style>
  <w:style w:type="paragraph" w:styleId="Heading4">
    <w:name w:val="heading 4"/>
    <w:basedOn w:val="Normal"/>
    <w:next w:val="Normal"/>
    <w:link w:val="Heading4Char"/>
    <w:qFormat/>
    <w:rsid w:val="00683784"/>
    <w:pPr>
      <w:outlineLvl w:val="3"/>
    </w:pPr>
  </w:style>
  <w:style w:type="paragraph" w:styleId="Heading5">
    <w:name w:val="heading 5"/>
    <w:basedOn w:val="Normal"/>
    <w:next w:val="Normal"/>
    <w:link w:val="Heading5Char"/>
    <w:qFormat/>
    <w:rsid w:val="00683784"/>
    <w:pPr>
      <w:outlineLvl w:val="4"/>
    </w:pPr>
  </w:style>
  <w:style w:type="paragraph" w:styleId="Heading6">
    <w:name w:val="heading 6"/>
    <w:basedOn w:val="Normal"/>
    <w:next w:val="Normal"/>
    <w:link w:val="Heading6Char"/>
    <w:qFormat/>
    <w:rsid w:val="00683784"/>
    <w:pPr>
      <w:outlineLvl w:val="5"/>
    </w:pPr>
  </w:style>
  <w:style w:type="paragraph" w:styleId="Heading7">
    <w:name w:val="heading 7"/>
    <w:basedOn w:val="Normal"/>
    <w:next w:val="Normal"/>
    <w:link w:val="Heading7Char"/>
    <w:qFormat/>
    <w:rsid w:val="00683784"/>
    <w:pPr>
      <w:outlineLvl w:val="6"/>
    </w:pPr>
  </w:style>
  <w:style w:type="paragraph" w:styleId="Heading8">
    <w:name w:val="heading 8"/>
    <w:basedOn w:val="Normal"/>
    <w:next w:val="Normal"/>
    <w:link w:val="Heading8Char"/>
    <w:qFormat/>
    <w:rsid w:val="00683784"/>
    <w:pPr>
      <w:outlineLvl w:val="7"/>
    </w:pPr>
  </w:style>
  <w:style w:type="paragraph" w:styleId="Heading9">
    <w:name w:val="heading 9"/>
    <w:basedOn w:val="Normal"/>
    <w:next w:val="Normal"/>
    <w:link w:val="Heading9Char"/>
    <w:qFormat/>
    <w:rsid w:val="0068378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5A"/>
    <w:pPr>
      <w:spacing w:after="200" w:line="276" w:lineRule="auto"/>
      <w:ind w:left="720"/>
      <w:contextualSpacing/>
    </w:pPr>
    <w:rPr>
      <w:rFonts w:ascii="Calibri" w:hAnsi="Calibri"/>
    </w:rPr>
  </w:style>
  <w:style w:type="paragraph" w:styleId="FootnoteText">
    <w:name w:val="footnote text"/>
    <w:basedOn w:val="Normal"/>
    <w:link w:val="FootnoteTextChar"/>
    <w:unhideWhenUsed/>
    <w:qFormat/>
    <w:rsid w:val="00683784"/>
    <w:pPr>
      <w:spacing w:line="240" w:lineRule="auto"/>
    </w:pPr>
    <w:rPr>
      <w:sz w:val="20"/>
      <w:szCs w:val="20"/>
    </w:rPr>
  </w:style>
  <w:style w:type="character" w:customStyle="1" w:styleId="FootnoteTextChar">
    <w:name w:val="Footnote Text Char"/>
    <w:basedOn w:val="DefaultParagraphFont"/>
    <w:link w:val="FootnoteText"/>
    <w:rsid w:val="007E71D2"/>
    <w:rPr>
      <w:sz w:val="20"/>
      <w:szCs w:val="20"/>
      <w:lang w:val="sl-SI"/>
    </w:rPr>
  </w:style>
  <w:style w:type="character" w:styleId="FootnoteReference">
    <w:name w:val="footnote reference"/>
    <w:basedOn w:val="DefaultParagraphFont"/>
    <w:unhideWhenUsed/>
    <w:qFormat/>
    <w:rsid w:val="00683784"/>
    <w:rPr>
      <w:vertAlign w:val="superscript"/>
    </w:rPr>
  </w:style>
  <w:style w:type="character" w:styleId="CommentReference">
    <w:name w:val="annotation reference"/>
    <w:basedOn w:val="DefaultParagraphFont"/>
    <w:uiPriority w:val="99"/>
    <w:semiHidden/>
    <w:unhideWhenUsed/>
    <w:rsid w:val="007A4C60"/>
    <w:rPr>
      <w:sz w:val="16"/>
      <w:szCs w:val="16"/>
    </w:rPr>
  </w:style>
  <w:style w:type="paragraph" w:styleId="CommentText">
    <w:name w:val="annotation text"/>
    <w:basedOn w:val="Normal"/>
    <w:link w:val="CommentTextChar"/>
    <w:semiHidden/>
    <w:unhideWhenUsed/>
    <w:rsid w:val="007A4C60"/>
    <w:pPr>
      <w:spacing w:line="240" w:lineRule="auto"/>
    </w:pPr>
    <w:rPr>
      <w:sz w:val="20"/>
      <w:szCs w:val="20"/>
    </w:rPr>
  </w:style>
  <w:style w:type="character" w:customStyle="1" w:styleId="CommentTextChar">
    <w:name w:val="Comment Text Char"/>
    <w:basedOn w:val="DefaultParagraphFont"/>
    <w:link w:val="CommentText"/>
    <w:semiHidden/>
    <w:rsid w:val="007A4C60"/>
    <w:rPr>
      <w:rFonts w:ascii="Times New Roman" w:eastAsia="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unhideWhenUsed/>
    <w:rsid w:val="007A4C60"/>
    <w:rPr>
      <w:b/>
      <w:bCs/>
    </w:rPr>
  </w:style>
  <w:style w:type="character" w:customStyle="1" w:styleId="CommentSubjectChar">
    <w:name w:val="Comment Subject Char"/>
    <w:basedOn w:val="CommentTextChar"/>
    <w:link w:val="CommentSubject"/>
    <w:uiPriority w:val="99"/>
    <w:semiHidden/>
    <w:rsid w:val="007A4C60"/>
    <w:rPr>
      <w:rFonts w:ascii="Times New Roman" w:eastAsia="Times New Roman" w:hAnsi="Times New Roman" w:cs="Times New Roman"/>
      <w:b/>
      <w:bCs/>
      <w:sz w:val="20"/>
      <w:szCs w:val="20"/>
      <w:lang w:val="sl-SI"/>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A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60"/>
    <w:rPr>
      <w:rFonts w:ascii="Tahoma" w:eastAsia="Times New Roman" w:hAnsi="Tahoma" w:cs="Tahoma"/>
      <w:sz w:val="16"/>
      <w:szCs w:val="16"/>
      <w:lang w:val="sl-SI"/>
    </w:rPr>
  </w:style>
  <w:style w:type="character" w:customStyle="1" w:styleId="normaltextrun">
    <w:name w:val="normaltextrun"/>
    <w:basedOn w:val="DefaultParagraphFont"/>
    <w:rsid w:val="00F12A32"/>
  </w:style>
  <w:style w:type="character" w:customStyle="1" w:styleId="eop">
    <w:name w:val="eop"/>
    <w:basedOn w:val="DefaultParagraphFont"/>
    <w:rsid w:val="00F12A32"/>
  </w:style>
  <w:style w:type="character" w:customStyle="1" w:styleId="spellingerror">
    <w:name w:val="spellingerror"/>
    <w:basedOn w:val="DefaultParagraphFont"/>
    <w:rsid w:val="00CC0748"/>
  </w:style>
  <w:style w:type="paragraph" w:styleId="Header">
    <w:name w:val="header"/>
    <w:basedOn w:val="Normal"/>
    <w:link w:val="HeaderChar"/>
    <w:unhideWhenUsed/>
    <w:qFormat/>
    <w:rsid w:val="00683784"/>
    <w:pPr>
      <w:tabs>
        <w:tab w:val="center" w:pos="4153"/>
        <w:tab w:val="right" w:pos="8306"/>
      </w:tabs>
      <w:spacing w:line="240" w:lineRule="auto"/>
    </w:pPr>
  </w:style>
  <w:style w:type="character" w:customStyle="1" w:styleId="HeaderChar">
    <w:name w:val="Header Char"/>
    <w:basedOn w:val="DefaultParagraphFont"/>
    <w:link w:val="Header"/>
    <w:rsid w:val="00EB1C0F"/>
    <w:rPr>
      <w:lang w:val="sl-SI"/>
    </w:rPr>
  </w:style>
  <w:style w:type="paragraph" w:styleId="Footer">
    <w:name w:val="footer"/>
    <w:basedOn w:val="Normal"/>
    <w:link w:val="FooterChar"/>
    <w:unhideWhenUsed/>
    <w:qFormat/>
    <w:rsid w:val="00683784"/>
    <w:pPr>
      <w:tabs>
        <w:tab w:val="center" w:pos="4153"/>
        <w:tab w:val="right" w:pos="8306"/>
      </w:tabs>
      <w:spacing w:line="240" w:lineRule="auto"/>
    </w:pPr>
  </w:style>
  <w:style w:type="character" w:customStyle="1" w:styleId="FooterChar">
    <w:name w:val="Footer Char"/>
    <w:basedOn w:val="DefaultParagraphFont"/>
    <w:link w:val="Footer"/>
    <w:rsid w:val="00EB1C0F"/>
    <w:rPr>
      <w:lang w:val="sl-SI"/>
    </w:rPr>
  </w:style>
  <w:style w:type="character" w:customStyle="1" w:styleId="Heading1Char">
    <w:name w:val="Heading 1 Char"/>
    <w:basedOn w:val="DefaultParagraphFont"/>
    <w:link w:val="Heading1"/>
    <w:rsid w:val="00CE5349"/>
    <w:rPr>
      <w:rFonts w:asciiTheme="majorHAnsi" w:eastAsiaTheme="majorEastAsia" w:hAnsiTheme="majorHAnsi" w:cstheme="majorBidi"/>
      <w:color w:val="365F91" w:themeColor="accent1" w:themeShade="BF"/>
      <w:sz w:val="32"/>
      <w:szCs w:val="32"/>
      <w:lang w:val="sl-SI"/>
    </w:rPr>
  </w:style>
  <w:style w:type="paragraph" w:styleId="Subtitle">
    <w:name w:val="Subtitle"/>
    <w:basedOn w:val="Normal"/>
    <w:next w:val="Normal"/>
    <w:link w:val="SubtitleChar"/>
    <w:uiPriority w:val="11"/>
    <w:qFormat/>
    <w:rsid w:val="005B2D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B2DC3"/>
    <w:rPr>
      <w:rFonts w:eastAsiaTheme="minorEastAsia"/>
      <w:color w:val="5A5A5A" w:themeColor="text1" w:themeTint="A5"/>
      <w:spacing w:val="15"/>
      <w:lang w:val="sl-SI"/>
    </w:rPr>
  </w:style>
  <w:style w:type="character" w:styleId="Hyperlink">
    <w:name w:val="Hyperlink"/>
    <w:basedOn w:val="DefaultParagraphFont"/>
    <w:uiPriority w:val="99"/>
    <w:unhideWhenUsed/>
    <w:rsid w:val="00014E6A"/>
    <w:rPr>
      <w:color w:val="0000FF"/>
      <w:u w:val="single"/>
    </w:rPr>
  </w:style>
  <w:style w:type="character" w:customStyle="1" w:styleId="Heading2Char">
    <w:name w:val="Heading 2 Char"/>
    <w:basedOn w:val="DefaultParagraphFont"/>
    <w:link w:val="Heading2"/>
    <w:rsid w:val="00A31CB4"/>
    <w:rPr>
      <w:lang w:val="sl-SI"/>
    </w:rPr>
  </w:style>
  <w:style w:type="character" w:customStyle="1" w:styleId="Heading3Char">
    <w:name w:val="Heading 3 Char"/>
    <w:basedOn w:val="DefaultParagraphFont"/>
    <w:link w:val="Heading3"/>
    <w:rsid w:val="00A31CB4"/>
    <w:rPr>
      <w:lang w:val="sl-SI"/>
    </w:rPr>
  </w:style>
  <w:style w:type="character" w:customStyle="1" w:styleId="Heading4Char">
    <w:name w:val="Heading 4 Char"/>
    <w:basedOn w:val="DefaultParagraphFont"/>
    <w:link w:val="Heading4"/>
    <w:rsid w:val="00A31CB4"/>
    <w:rPr>
      <w:lang w:val="sl-SI"/>
    </w:rPr>
  </w:style>
  <w:style w:type="character" w:customStyle="1" w:styleId="Heading5Char">
    <w:name w:val="Heading 5 Char"/>
    <w:basedOn w:val="DefaultParagraphFont"/>
    <w:link w:val="Heading5"/>
    <w:rsid w:val="00A31CB4"/>
    <w:rPr>
      <w:lang w:val="sl-SI"/>
    </w:rPr>
  </w:style>
  <w:style w:type="character" w:customStyle="1" w:styleId="Heading6Char">
    <w:name w:val="Heading 6 Char"/>
    <w:basedOn w:val="DefaultParagraphFont"/>
    <w:link w:val="Heading6"/>
    <w:rsid w:val="00A31CB4"/>
    <w:rPr>
      <w:lang w:val="sl-SI"/>
    </w:rPr>
  </w:style>
  <w:style w:type="character" w:customStyle="1" w:styleId="Heading7Char">
    <w:name w:val="Heading 7 Char"/>
    <w:basedOn w:val="DefaultParagraphFont"/>
    <w:link w:val="Heading7"/>
    <w:rsid w:val="00A31CB4"/>
    <w:rPr>
      <w:lang w:val="sl-SI"/>
    </w:rPr>
  </w:style>
  <w:style w:type="character" w:customStyle="1" w:styleId="Heading8Char">
    <w:name w:val="Heading 8 Char"/>
    <w:basedOn w:val="DefaultParagraphFont"/>
    <w:link w:val="Heading8"/>
    <w:rsid w:val="00A31CB4"/>
    <w:rPr>
      <w:lang w:val="sl-SI"/>
    </w:rPr>
  </w:style>
  <w:style w:type="character" w:customStyle="1" w:styleId="Heading9Char">
    <w:name w:val="Heading 9 Char"/>
    <w:basedOn w:val="DefaultParagraphFont"/>
    <w:link w:val="Heading9"/>
    <w:rsid w:val="00A31CB4"/>
    <w:rPr>
      <w:lang w:val="sl-SI"/>
    </w:rPr>
  </w:style>
  <w:style w:type="paragraph" w:customStyle="1" w:styleId="quotes">
    <w:name w:val="quotes"/>
    <w:basedOn w:val="Normal"/>
    <w:next w:val="Normal"/>
    <w:rsid w:val="00A31CB4"/>
    <w:pPr>
      <w:ind w:left="720"/>
    </w:pPr>
    <w:rPr>
      <w:i/>
    </w:rPr>
  </w:style>
  <w:style w:type="table" w:styleId="TableGrid">
    <w:name w:val="Table Grid"/>
    <w:basedOn w:val="TableNormal"/>
    <w:uiPriority w:val="59"/>
    <w:rsid w:val="008464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5" Type="http://schemas.microsoft.com/office/2016/09/relationships/commentsIds" Target="commentsIds.xml"/><Relationship Id="rId16"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hyperlink" Target="https://s3platform.jrc.ec.europa.eu/social-economy" TargetMode="External"/><Relationship Id="rId28" Type="http://schemas.openxmlformats.org/officeDocument/2006/relationships/customXml" Target="../customXml/item3.xml"/><Relationship Id="rId10" Type="http://schemas.openxmlformats.org/officeDocument/2006/relationships/footnotes" Target="footnotes.xml"/><Relationship Id="rId9" Type="http://schemas.openxmlformats.org/officeDocument/2006/relationships/webSettings" Target="webSettings.xml"/><Relationship Id="rId14" Type="http://schemas.openxmlformats.org/officeDocument/2006/relationships/hyperlink" Target="https://www.europeanjobdays.eu/sl/"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12:102:0006:0010:SLV:PDF" TargetMode="External"/><Relationship Id="rId1" Type="http://schemas.openxmlformats.org/officeDocument/2006/relationships/hyperlink" Target="https://ec.europa.eu/commission/sites/beta-political/files/reflection-paper-social-dimension-europe_sl.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3T5AXJEHYTWU-1246943346-5627</_dlc_DocId>
    <_dlc_DocIdUrl xmlns="0b452354-65a4-4dd6-8824-e6b830247e3e">
      <Url>http://dm2016/cor/2020/_layouts/15/DocIdRedir.aspx?ID=3T5AXJEHYTWU-1246943346-5627</Url>
      <Description>3T5AXJEHYTWU-1246943346-5627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2020-11-23T12:00:00+00:00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2618E037-013B-44FC-A84E-CD3FF6D62C72}"/>
</file>

<file path=customXml/itemProps2.xml><?xml version="1.0" encoding="utf-8"?>
<ds:datastoreItem xmlns:ds="http://schemas.openxmlformats.org/officeDocument/2006/customXml" ds:itemID="{6D6E7F14-9F72-47FB-9444-91A585A14E76}"/>
</file>

<file path=customXml/itemProps3.xml><?xml version="1.0" encoding="utf-8"?>
<ds:datastoreItem xmlns:ds="http://schemas.openxmlformats.org/officeDocument/2006/customXml" ds:itemID="{A88CF5C4-2E29-4DF9-BF0B-2FBB1F7C694A}"/>
</file>

<file path=customXml/itemProps4.xml><?xml version="1.0" encoding="utf-8"?>
<ds:datastoreItem xmlns:ds="http://schemas.openxmlformats.org/officeDocument/2006/customXml" ds:itemID="{8027FA26-2302-4135-B49C-DC267350F74E}"/>
</file>

<file path=docProps/app.xml><?xml version="1.0" encoding="utf-8"?>
<Properties xmlns="http://schemas.openxmlformats.org/officeDocument/2006/extended-properties" xmlns:vt="http://schemas.openxmlformats.org/officeDocument/2006/docPropsVTypes">
  <Template>Styles.dotm</Template>
  <TotalTime>14</TotalTime>
  <Pages>8</Pages>
  <Words>2563</Words>
  <Characters>14612</Characters>
  <Application>Microsoft Office Word</Application>
  <DocSecurity>0</DocSecurity>
  <Lines>121</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17141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Področja okrepljenega sodelovanja med OR in GD EMPL</dc:title>
  <dc:creator>Thomas Wobben</dc:creator>
  <cp:keywords>COR-2020-04835-00-01-TCD-TRA-EN</cp:keywords>
  <dc:description>Rapporteur:  - Original language: EN - Date of document: 23/11/2020 - Date of meeting: 25/11/2020 - External documents:  - Administrator:  PETRAS Georgios</dc:description>
  <cp:lastModifiedBy>Borut Sinko</cp:lastModifiedBy>
  <cp:revision>4</cp:revision>
  <cp:lastPrinted>2020-10-07T12:59:00Z</cp:lastPrinted>
  <dcterms:created xsi:type="dcterms:W3CDTF">2020-11-23T16:06:00Z</dcterms:created>
  <dcterms:modified xsi:type="dcterms:W3CDTF">2020-11-23T16:21:00Z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2bb23ecb-e54b-4261-b07a-b8d96229f233</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4835</vt:i4>
  </property>
  <property fmtid="{D5CDD505-2E9C-101B-9397-08002B2CF9AE}" pid="15" name="FicheYear">
    <vt:i4>2020</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22;#TCD|cd9d6eb6-3f4f-424a-b2d1-57c9d450eaaf</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LV|46f7e311-5d9f-4663-b433-18aeccb7ace7;LT|a7ff5ce7-6123-4f68-865a-a57c31810414;PT|50ccc04a-eadd-42ae-a0cb-acaf45f812ba;HR|2f555653-ed1a-4fe6-8362-9082d95989e5;MT|7df99101-6854-4a26-b53a-b88c0da02c26;PL|1e03da61-4678-4e07-b136-b5024ca9197b;SV|c2ed69e7-a339-43d7-8f22-d93680a92aa0;ET|ff6c3f4c-b02c-4c3c-ab07-2c37995a7a0a;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35;#PT|50ccc04a-eadd-42ae-a0cb-acaf45f812ba;#31;#LV|46f7e311-5d9f-4663-b433-18aeccb7ace7;#29;#SV|c2ed69e7-a339-43d7-8f22-d93680a92aa0;#25;#ET|ff6c3f4c-b02c-4c3c-ab07-2c37995a7a0a;#50;#SEDEC-VII|2234d809-5ab4-4b5b-84d4-8dd3531523c3;#22;#TCD|cd9d6eb6-3f4f-424a-b2d1-57c9d450eaaf;#19;#LT|a7ff5ce7-6123-4f68-865a-a57c31810414;#17;#PL|1e03da61-4678-4e07-b136-b5024ca9197b;#14;#MT|7df99101-6854-4a26-b53a-b88c0da02c26;#13;#HR|2f555653-ed1a-4fe6-8362-9082d95989e5;#8;#TRA|150d2a88-1431-44e6-a8ca-0bb753ab8672;#7;#EN|f2175f21-25d7-44a3-96da-d6a61b075e1b;#6;#Final|ea5e6674-7b27-4bac-b091-73adbb394efe;#5;#Unrestricted|826e22d7-d029-4ec0-a450-0c28ff673572;#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12567</vt:i4>
  </property>
  <property fmtid="{D5CDD505-2E9C-101B-9397-08002B2CF9AE}" pid="38" name="DocumentLanguage">
    <vt:lpwstr>26;#SL|98a412ae-eb01-49e9-ae3d-585a81724cfc</vt:lpwstr>
  </property>
</Properties>
</file>